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58B7F" w14:textId="68E0E43E" w:rsidR="005A717D" w:rsidRDefault="000E09C3">
      <w:pPr>
        <w:rPr>
          <w:noProof/>
        </w:rPr>
      </w:pPr>
      <w:r>
        <w:rPr>
          <w:noProof/>
        </w:rPr>
        <w:drawing>
          <wp:inline distT="0" distB="0" distL="0" distR="0" wp14:anchorId="5D75B5C4" wp14:editId="06C81D8C">
            <wp:extent cx="5978236" cy="914400"/>
            <wp:effectExtent l="0" t="0" r="0" b="0"/>
            <wp:docPr id="2" name="Picture 2" descr="Macintosh HD:Users:carmo001:Desktop:Screen Shot 2017-05-31 at 5.22.5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mo001:Desktop:Screen Shot 2017-05-31 at 5.22.59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8236" cy="914400"/>
                    </a:xfrm>
                    <a:prstGeom prst="rect">
                      <a:avLst/>
                    </a:prstGeom>
                    <a:noFill/>
                    <a:ln>
                      <a:noFill/>
                    </a:ln>
                  </pic:spPr>
                </pic:pic>
              </a:graphicData>
            </a:graphic>
          </wp:inline>
        </w:drawing>
      </w:r>
    </w:p>
    <w:p w14:paraId="0023B6E2" w14:textId="3F8B5E11" w:rsidR="005A717D" w:rsidRDefault="00CB3495">
      <w:pPr>
        <w:rPr>
          <w:noProof/>
        </w:rPr>
      </w:pPr>
      <w:r>
        <w:rPr>
          <w:noProof/>
        </w:rPr>
        <w:drawing>
          <wp:inline distT="0" distB="0" distL="0" distR="0" wp14:anchorId="60A49800" wp14:editId="6CC5B610">
            <wp:extent cx="5486400" cy="492710"/>
            <wp:effectExtent l="0" t="0" r="0" b="0"/>
            <wp:docPr id="3" name="Picture 3" descr="Macintosh HD:Users:carmo001:Desktop:Screen Shot 2017-05-31 at 5.23.4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rmo001:Desktop:Screen Shot 2017-05-31 at 5.23.49 PM.png"/>
                    <pic:cNvPicPr>
                      <a:picLocks noChangeAspect="1" noChangeArrowheads="1"/>
                    </pic:cNvPicPr>
                  </pic:nvPicPr>
                  <pic:blipFill rotWithShape="1">
                    <a:blip r:embed="rId6">
                      <a:extLst>
                        <a:ext uri="{28A0092B-C50C-407E-A947-70E740481C1C}">
                          <a14:useLocalDpi xmlns:a14="http://schemas.microsoft.com/office/drawing/2010/main" val="0"/>
                        </a:ext>
                      </a:extLst>
                    </a:blip>
                    <a:srcRect l="1269" t="47778" r="17874"/>
                    <a:stretch/>
                  </pic:blipFill>
                  <pic:spPr bwMode="auto">
                    <a:xfrm>
                      <a:off x="0" y="0"/>
                      <a:ext cx="5499028" cy="493844"/>
                    </a:xfrm>
                    <a:prstGeom prst="rect">
                      <a:avLst/>
                    </a:prstGeom>
                    <a:noFill/>
                    <a:ln>
                      <a:noFill/>
                    </a:ln>
                    <a:extLst>
                      <a:ext uri="{53640926-AAD7-44d8-BBD7-CCE9431645EC}">
                        <a14:shadowObscured xmlns:a14="http://schemas.microsoft.com/office/drawing/2010/main"/>
                      </a:ext>
                    </a:extLst>
                  </pic:spPr>
                </pic:pic>
              </a:graphicData>
            </a:graphic>
          </wp:inline>
        </w:drawing>
      </w:r>
    </w:p>
    <w:p w14:paraId="46222760" w14:textId="77777777" w:rsidR="00A05DE0" w:rsidRDefault="00A05DE0">
      <w:pPr>
        <w:rPr>
          <w:rFonts w:asciiTheme="majorHAnsi" w:hAnsiTheme="majorHAnsi"/>
          <w:noProof/>
          <w:sz w:val="23"/>
          <w:szCs w:val="23"/>
        </w:rPr>
      </w:pPr>
    </w:p>
    <w:p w14:paraId="15931BB1" w14:textId="479A161D" w:rsidR="00575012" w:rsidRPr="001E4EEA" w:rsidRDefault="00B20F80">
      <w:pPr>
        <w:rPr>
          <w:rFonts w:asciiTheme="majorHAnsi" w:hAnsiTheme="majorHAnsi"/>
          <w:noProof/>
          <w:sz w:val="23"/>
          <w:szCs w:val="23"/>
        </w:rPr>
      </w:pPr>
      <w:r w:rsidRPr="001E4EEA">
        <w:rPr>
          <w:rFonts w:asciiTheme="majorHAnsi" w:hAnsiTheme="majorHAnsi"/>
          <w:noProof/>
          <w:sz w:val="23"/>
          <w:szCs w:val="23"/>
        </w:rPr>
        <w:t>The Minnesota Design Center and the Center for Sustainable Building Research at the University of Minnesota</w:t>
      </w:r>
      <w:r w:rsidR="003B7665" w:rsidRPr="001E4EEA">
        <w:rPr>
          <w:rFonts w:asciiTheme="majorHAnsi" w:hAnsiTheme="majorHAnsi"/>
          <w:noProof/>
          <w:sz w:val="23"/>
          <w:szCs w:val="23"/>
        </w:rPr>
        <w:t xml:space="preserve"> conduct research</w:t>
      </w:r>
      <w:r w:rsidRPr="001E4EEA">
        <w:rPr>
          <w:rFonts w:asciiTheme="majorHAnsi" w:hAnsiTheme="majorHAnsi"/>
          <w:noProof/>
          <w:sz w:val="23"/>
          <w:szCs w:val="23"/>
        </w:rPr>
        <w:t xml:space="preserve"> and provide assistance in creating sustainable, healthy and resilient communities and buildings.</w:t>
      </w:r>
    </w:p>
    <w:p w14:paraId="0A5360C2" w14:textId="77777777" w:rsidR="006526E0" w:rsidRPr="001E4EEA" w:rsidRDefault="006526E0">
      <w:pPr>
        <w:rPr>
          <w:rFonts w:asciiTheme="majorHAnsi" w:hAnsiTheme="majorHAnsi"/>
          <w:noProof/>
          <w:sz w:val="23"/>
          <w:szCs w:val="23"/>
        </w:rPr>
      </w:pPr>
    </w:p>
    <w:p w14:paraId="6D14E835" w14:textId="3C8B64D0" w:rsidR="001E4EEA" w:rsidRPr="001E4EEA" w:rsidRDefault="006932F8">
      <w:pPr>
        <w:rPr>
          <w:rFonts w:asciiTheme="majorHAnsi" w:hAnsiTheme="majorHAnsi"/>
          <w:b/>
          <w:noProof/>
          <w:sz w:val="23"/>
          <w:szCs w:val="23"/>
        </w:rPr>
      </w:pPr>
      <w:r>
        <w:rPr>
          <w:rFonts w:asciiTheme="majorHAnsi" w:hAnsiTheme="majorHAnsi"/>
          <w:b/>
          <w:noProof/>
          <w:sz w:val="23"/>
          <w:szCs w:val="23"/>
        </w:rPr>
        <w:t>TRANSPORTATION</w:t>
      </w:r>
    </w:p>
    <w:p w14:paraId="201627D4" w14:textId="77777777" w:rsidR="006932F8" w:rsidRPr="006932F8" w:rsidRDefault="006932F8" w:rsidP="006932F8">
      <w:pPr>
        <w:widowControl w:val="0"/>
        <w:autoSpaceDE w:val="0"/>
        <w:autoSpaceDN w:val="0"/>
        <w:adjustRightInd w:val="0"/>
        <w:rPr>
          <w:rFonts w:asciiTheme="majorHAnsi" w:hAnsiTheme="majorHAnsi" w:cs="Arial"/>
          <w:color w:val="1A1A1A"/>
          <w:sz w:val="23"/>
          <w:szCs w:val="23"/>
        </w:rPr>
      </w:pPr>
      <w:r w:rsidRPr="006932F8">
        <w:rPr>
          <w:rFonts w:asciiTheme="majorHAnsi" w:hAnsiTheme="majorHAnsi" w:cs="Arial"/>
          <w:b/>
          <w:bCs/>
          <w:color w:val="1A1A1A"/>
          <w:sz w:val="23"/>
          <w:szCs w:val="23"/>
        </w:rPr>
        <w:t xml:space="preserve">Shared autonomous vehicles </w:t>
      </w:r>
      <w:r w:rsidRPr="006932F8">
        <w:rPr>
          <w:rFonts w:asciiTheme="majorHAnsi" w:hAnsiTheme="majorHAnsi" w:cs="Arial"/>
          <w:color w:val="1A1A1A"/>
          <w:sz w:val="23"/>
          <w:szCs w:val="23"/>
        </w:rPr>
        <w:t>will be widespread within a decade and they will have profound effects on our land use, parking requirements, and road infrastructure. What we are putting in place right now will be affected by this transportation revolution and planning for this needs to be a part of every comprehensive plan.</w:t>
      </w:r>
    </w:p>
    <w:p w14:paraId="5D391AD4" w14:textId="77777777" w:rsidR="001E4EEA" w:rsidRPr="006932F8" w:rsidRDefault="001E4EEA">
      <w:pPr>
        <w:rPr>
          <w:rFonts w:asciiTheme="majorHAnsi" w:hAnsiTheme="majorHAnsi"/>
          <w:b/>
          <w:noProof/>
          <w:sz w:val="23"/>
          <w:szCs w:val="23"/>
        </w:rPr>
      </w:pPr>
    </w:p>
    <w:p w14:paraId="01395F51" w14:textId="0F8E0812" w:rsidR="001E4EEA" w:rsidRPr="001E4EEA" w:rsidRDefault="006932F8">
      <w:pPr>
        <w:rPr>
          <w:rFonts w:asciiTheme="majorHAnsi" w:hAnsiTheme="majorHAnsi"/>
          <w:b/>
          <w:noProof/>
          <w:sz w:val="23"/>
          <w:szCs w:val="23"/>
        </w:rPr>
      </w:pPr>
      <w:r>
        <w:rPr>
          <w:rFonts w:asciiTheme="majorHAnsi" w:hAnsiTheme="majorHAnsi"/>
          <w:b/>
          <w:noProof/>
          <w:sz w:val="23"/>
          <w:szCs w:val="23"/>
        </w:rPr>
        <w:t>HIGH PERFORMANCE BUILDING PROGRAMS</w:t>
      </w:r>
    </w:p>
    <w:p w14:paraId="3BB3A8E0" w14:textId="2FA4DE1A" w:rsidR="006526E0" w:rsidRDefault="006526E0">
      <w:pPr>
        <w:rPr>
          <w:rFonts w:asciiTheme="majorHAnsi" w:hAnsiTheme="majorHAnsi"/>
          <w:noProof/>
          <w:sz w:val="23"/>
          <w:szCs w:val="23"/>
        </w:rPr>
      </w:pPr>
      <w:r w:rsidRPr="001E4EEA">
        <w:rPr>
          <w:rFonts w:asciiTheme="majorHAnsi" w:hAnsiTheme="majorHAnsi"/>
          <w:noProof/>
          <w:sz w:val="23"/>
          <w:szCs w:val="23"/>
        </w:rPr>
        <w:t xml:space="preserve">The </w:t>
      </w:r>
      <w:r w:rsidR="000C0F3E">
        <w:rPr>
          <w:rFonts w:asciiTheme="majorHAnsi" w:hAnsiTheme="majorHAnsi"/>
          <w:b/>
          <w:noProof/>
          <w:sz w:val="23"/>
          <w:szCs w:val="23"/>
        </w:rPr>
        <w:t>SB2030 P</w:t>
      </w:r>
      <w:r w:rsidRPr="001E4EEA">
        <w:rPr>
          <w:rFonts w:asciiTheme="majorHAnsi" w:hAnsiTheme="majorHAnsi"/>
          <w:b/>
          <w:noProof/>
          <w:sz w:val="23"/>
          <w:szCs w:val="23"/>
        </w:rPr>
        <w:t>rogram</w:t>
      </w:r>
      <w:r w:rsidRPr="001E4EEA">
        <w:rPr>
          <w:rFonts w:asciiTheme="majorHAnsi" w:hAnsiTheme="majorHAnsi"/>
          <w:noProof/>
          <w:sz w:val="23"/>
          <w:szCs w:val="23"/>
        </w:rPr>
        <w:t xml:space="preserve"> is a process for achieving high performance buildings—net zero energy and greenhouse gas emissions by the year 2030. It is required on all State of Minnesota funded projects but can be used by other communities to achi</w:t>
      </w:r>
      <w:bookmarkStart w:id="0" w:name="_GoBack"/>
      <w:bookmarkEnd w:id="0"/>
      <w:r w:rsidRPr="001E4EEA">
        <w:rPr>
          <w:rFonts w:asciiTheme="majorHAnsi" w:hAnsiTheme="majorHAnsi"/>
          <w:noProof/>
          <w:sz w:val="23"/>
          <w:szCs w:val="23"/>
        </w:rPr>
        <w:t xml:space="preserve">eve their goals. </w:t>
      </w:r>
      <w:r w:rsidR="00A05DE0">
        <w:rPr>
          <w:rFonts w:asciiTheme="majorHAnsi" w:hAnsiTheme="majorHAnsi"/>
          <w:noProof/>
          <w:sz w:val="23"/>
          <w:szCs w:val="23"/>
        </w:rPr>
        <w:t xml:space="preserve"> </w:t>
      </w:r>
      <w:hyperlink r:id="rId7" w:history="1">
        <w:r w:rsidR="00A05DE0" w:rsidRPr="00255A1A">
          <w:rPr>
            <w:rStyle w:val="Hyperlink"/>
            <w:rFonts w:asciiTheme="majorHAnsi" w:hAnsiTheme="majorHAnsi"/>
            <w:noProof/>
            <w:sz w:val="23"/>
            <w:szCs w:val="23"/>
          </w:rPr>
          <w:t>www.b3mn.org/2030energystandard/</w:t>
        </w:r>
      </w:hyperlink>
    </w:p>
    <w:p w14:paraId="444CF809" w14:textId="77777777" w:rsidR="00A05DE0" w:rsidRPr="001E4EEA" w:rsidRDefault="00A05DE0">
      <w:pPr>
        <w:rPr>
          <w:rFonts w:asciiTheme="majorHAnsi" w:hAnsiTheme="majorHAnsi"/>
          <w:noProof/>
          <w:sz w:val="23"/>
          <w:szCs w:val="23"/>
        </w:rPr>
      </w:pPr>
    </w:p>
    <w:p w14:paraId="278FF61F" w14:textId="02780758" w:rsidR="006526E0" w:rsidRPr="001E4EEA" w:rsidRDefault="006526E0">
      <w:pPr>
        <w:rPr>
          <w:rFonts w:asciiTheme="majorHAnsi" w:hAnsiTheme="majorHAnsi"/>
          <w:noProof/>
          <w:sz w:val="23"/>
          <w:szCs w:val="23"/>
        </w:rPr>
      </w:pPr>
      <w:r w:rsidRPr="001E4EEA">
        <w:rPr>
          <w:rFonts w:asciiTheme="majorHAnsi" w:hAnsiTheme="majorHAnsi"/>
          <w:noProof/>
          <w:sz w:val="23"/>
          <w:szCs w:val="23"/>
        </w:rPr>
        <w:t xml:space="preserve">The </w:t>
      </w:r>
      <w:r w:rsidRPr="001E4EEA">
        <w:rPr>
          <w:rFonts w:asciiTheme="majorHAnsi" w:hAnsiTheme="majorHAnsi"/>
          <w:b/>
          <w:noProof/>
          <w:sz w:val="23"/>
          <w:szCs w:val="23"/>
        </w:rPr>
        <w:t xml:space="preserve">Saint Paul Green Building </w:t>
      </w:r>
      <w:r w:rsidR="003B7665" w:rsidRPr="001E4EEA">
        <w:rPr>
          <w:rFonts w:asciiTheme="majorHAnsi" w:hAnsiTheme="majorHAnsi"/>
          <w:b/>
          <w:noProof/>
          <w:sz w:val="23"/>
          <w:szCs w:val="23"/>
        </w:rPr>
        <w:t>Policy</w:t>
      </w:r>
      <w:r w:rsidRPr="001E4EEA">
        <w:rPr>
          <w:rFonts w:asciiTheme="majorHAnsi" w:hAnsiTheme="majorHAnsi"/>
          <w:noProof/>
          <w:sz w:val="23"/>
          <w:szCs w:val="23"/>
        </w:rPr>
        <w:t xml:space="preserve"> utilizes</w:t>
      </w:r>
      <w:r w:rsidR="003B7665" w:rsidRPr="001E4EEA">
        <w:rPr>
          <w:rFonts w:asciiTheme="majorHAnsi" w:hAnsiTheme="majorHAnsi"/>
          <w:noProof/>
          <w:sz w:val="23"/>
          <w:szCs w:val="23"/>
        </w:rPr>
        <w:t xml:space="preserve"> the SB2030 performance requirements for energy and greenhouse gas emissions. All projects receiving assistance from the City must meet one of a selected set of guidelines or rating systems as well as six specific performance targets.</w:t>
      </w:r>
      <w:r w:rsidR="00D120F9" w:rsidRPr="001E4EEA">
        <w:rPr>
          <w:rFonts w:asciiTheme="majorHAnsi" w:hAnsiTheme="majorHAnsi"/>
          <w:noProof/>
          <w:sz w:val="23"/>
          <w:szCs w:val="23"/>
        </w:rPr>
        <w:t xml:space="preserve"> This approach can also be used by any community to meet their goals.</w:t>
      </w:r>
    </w:p>
    <w:p w14:paraId="1AE947E6" w14:textId="77777777" w:rsidR="00D120F9" w:rsidRPr="001E4EEA" w:rsidRDefault="00D120F9">
      <w:pPr>
        <w:rPr>
          <w:rFonts w:asciiTheme="majorHAnsi" w:hAnsiTheme="majorHAnsi"/>
          <w:noProof/>
          <w:sz w:val="23"/>
          <w:szCs w:val="23"/>
        </w:rPr>
      </w:pPr>
    </w:p>
    <w:p w14:paraId="40E8EDEE" w14:textId="42BFE66D" w:rsidR="001E4EEA" w:rsidRPr="001E4EEA" w:rsidRDefault="006932F8">
      <w:pPr>
        <w:rPr>
          <w:rFonts w:asciiTheme="majorHAnsi" w:hAnsiTheme="majorHAnsi"/>
          <w:b/>
          <w:noProof/>
          <w:sz w:val="23"/>
          <w:szCs w:val="23"/>
        </w:rPr>
      </w:pPr>
      <w:r>
        <w:rPr>
          <w:rFonts w:asciiTheme="majorHAnsi" w:hAnsiTheme="majorHAnsi"/>
          <w:b/>
          <w:noProof/>
          <w:sz w:val="23"/>
          <w:szCs w:val="23"/>
        </w:rPr>
        <w:t>DISTRICT SYSTEMS AND GUIDELINES</w:t>
      </w:r>
    </w:p>
    <w:p w14:paraId="6806EEA4" w14:textId="409CFABA" w:rsidR="00BA3358" w:rsidRPr="001E4EEA" w:rsidRDefault="00BA3358">
      <w:pPr>
        <w:rPr>
          <w:rFonts w:asciiTheme="majorHAnsi" w:hAnsiTheme="majorHAnsi"/>
          <w:noProof/>
          <w:sz w:val="23"/>
          <w:szCs w:val="23"/>
        </w:rPr>
      </w:pPr>
      <w:r w:rsidRPr="001E4EEA">
        <w:rPr>
          <w:rFonts w:asciiTheme="majorHAnsi" w:hAnsiTheme="majorHAnsi"/>
          <w:noProof/>
          <w:sz w:val="23"/>
          <w:szCs w:val="23"/>
        </w:rPr>
        <w:t xml:space="preserve">The </w:t>
      </w:r>
      <w:r w:rsidRPr="001E4EEA">
        <w:rPr>
          <w:rFonts w:asciiTheme="majorHAnsi" w:hAnsiTheme="majorHAnsi"/>
          <w:b/>
          <w:noProof/>
          <w:sz w:val="23"/>
          <w:szCs w:val="23"/>
        </w:rPr>
        <w:t>Prospect North (Towerside) District Framework and Guidelines for Development</w:t>
      </w:r>
      <w:r w:rsidRPr="001E4EEA">
        <w:rPr>
          <w:rFonts w:asciiTheme="majorHAnsi" w:hAnsiTheme="majorHAnsi"/>
          <w:noProof/>
          <w:sz w:val="23"/>
          <w:szCs w:val="23"/>
        </w:rPr>
        <w:t xml:space="preserve"> address a 370-acre innovation district near the University of Minnesota. This project includes district energy, district stormwater management and other systems. The goal is to meet a vision that includes sustainability</w:t>
      </w:r>
      <w:r w:rsidR="00A05DE0">
        <w:rPr>
          <w:rFonts w:asciiTheme="majorHAnsi" w:hAnsiTheme="majorHAnsi"/>
          <w:noProof/>
          <w:sz w:val="23"/>
          <w:szCs w:val="23"/>
        </w:rPr>
        <w:t>,</w:t>
      </w:r>
      <w:r w:rsidRPr="001E4EEA">
        <w:rPr>
          <w:rFonts w:asciiTheme="majorHAnsi" w:hAnsiTheme="majorHAnsi"/>
          <w:noProof/>
          <w:sz w:val="23"/>
          <w:szCs w:val="23"/>
        </w:rPr>
        <w:t xml:space="preserve"> resilience, healthy living, equity, econo</w:t>
      </w:r>
      <w:r w:rsidR="00A05DE0">
        <w:rPr>
          <w:rFonts w:asciiTheme="majorHAnsi" w:hAnsiTheme="majorHAnsi"/>
          <w:noProof/>
          <w:sz w:val="23"/>
          <w:szCs w:val="23"/>
        </w:rPr>
        <w:t>mic development and a vibrant p</w:t>
      </w:r>
      <w:r w:rsidRPr="001E4EEA">
        <w:rPr>
          <w:rFonts w:asciiTheme="majorHAnsi" w:hAnsiTheme="majorHAnsi"/>
          <w:noProof/>
          <w:sz w:val="23"/>
          <w:szCs w:val="23"/>
        </w:rPr>
        <w:t>ublic realm.</w:t>
      </w:r>
    </w:p>
    <w:p w14:paraId="6CFDF8EB" w14:textId="77777777" w:rsidR="00BA3358" w:rsidRPr="001E4EEA" w:rsidRDefault="00BA3358">
      <w:pPr>
        <w:rPr>
          <w:rFonts w:asciiTheme="majorHAnsi" w:hAnsiTheme="majorHAnsi"/>
          <w:noProof/>
          <w:sz w:val="23"/>
          <w:szCs w:val="23"/>
        </w:rPr>
      </w:pPr>
    </w:p>
    <w:p w14:paraId="51BE64B4" w14:textId="07E09D03" w:rsidR="00D120F9" w:rsidRPr="001E4EEA" w:rsidRDefault="00D120F9">
      <w:pPr>
        <w:rPr>
          <w:rFonts w:asciiTheme="majorHAnsi" w:hAnsiTheme="majorHAnsi"/>
          <w:noProof/>
          <w:sz w:val="23"/>
          <w:szCs w:val="23"/>
        </w:rPr>
      </w:pPr>
      <w:r w:rsidRPr="001E4EEA">
        <w:rPr>
          <w:rFonts w:asciiTheme="majorHAnsi" w:hAnsiTheme="majorHAnsi"/>
          <w:noProof/>
          <w:sz w:val="23"/>
          <w:szCs w:val="23"/>
        </w:rPr>
        <w:t xml:space="preserve">The </w:t>
      </w:r>
      <w:r w:rsidRPr="001E4EEA">
        <w:rPr>
          <w:rFonts w:asciiTheme="majorHAnsi" w:hAnsiTheme="majorHAnsi"/>
          <w:b/>
          <w:noProof/>
          <w:sz w:val="23"/>
          <w:szCs w:val="23"/>
        </w:rPr>
        <w:t>Rochester Destination Medical Center District Design Guidelines</w:t>
      </w:r>
      <w:r w:rsidRPr="001E4EEA">
        <w:rPr>
          <w:rFonts w:asciiTheme="majorHAnsi" w:hAnsiTheme="majorHAnsi"/>
          <w:noProof/>
          <w:sz w:val="23"/>
          <w:szCs w:val="23"/>
        </w:rPr>
        <w:t xml:space="preserve"> </w:t>
      </w:r>
      <w:r w:rsidR="0006245C" w:rsidRPr="001E4EEA">
        <w:rPr>
          <w:rFonts w:asciiTheme="majorHAnsi" w:hAnsiTheme="majorHAnsi"/>
          <w:noProof/>
          <w:sz w:val="23"/>
          <w:szCs w:val="23"/>
        </w:rPr>
        <w:t>provide standards for the overall downtown plan, stree</w:t>
      </w:r>
      <w:r w:rsidR="00CA4176" w:rsidRPr="001E4EEA">
        <w:rPr>
          <w:rFonts w:asciiTheme="majorHAnsi" w:hAnsiTheme="majorHAnsi"/>
          <w:noProof/>
          <w:sz w:val="23"/>
          <w:szCs w:val="23"/>
        </w:rPr>
        <w:t>ts and corridors, and individual</w:t>
      </w:r>
      <w:r w:rsidR="0006245C" w:rsidRPr="001E4EEA">
        <w:rPr>
          <w:rFonts w:asciiTheme="majorHAnsi" w:hAnsiTheme="majorHAnsi"/>
          <w:noProof/>
          <w:sz w:val="23"/>
          <w:szCs w:val="23"/>
        </w:rPr>
        <w:t xml:space="preserve"> buildings.</w:t>
      </w:r>
      <w:r w:rsidR="00CA4176" w:rsidRPr="001E4EEA">
        <w:rPr>
          <w:rFonts w:asciiTheme="majorHAnsi" w:hAnsiTheme="majorHAnsi"/>
          <w:noProof/>
          <w:sz w:val="23"/>
          <w:szCs w:val="23"/>
        </w:rPr>
        <w:t xml:space="preserve"> The guidelines support the goal</w:t>
      </w:r>
      <w:r w:rsidR="0006245C" w:rsidRPr="001E4EEA">
        <w:rPr>
          <w:rFonts w:asciiTheme="majorHAnsi" w:hAnsiTheme="majorHAnsi"/>
          <w:noProof/>
          <w:sz w:val="23"/>
          <w:szCs w:val="23"/>
        </w:rPr>
        <w:t>s of creating a healthy, sustainable, resilient city with a vibrant public real</w:t>
      </w:r>
      <w:r w:rsidR="00CA4176" w:rsidRPr="001E4EEA">
        <w:rPr>
          <w:rFonts w:asciiTheme="majorHAnsi" w:hAnsiTheme="majorHAnsi"/>
          <w:noProof/>
          <w:sz w:val="23"/>
          <w:szCs w:val="23"/>
        </w:rPr>
        <w:t>m</w:t>
      </w:r>
      <w:r w:rsidR="0006245C" w:rsidRPr="001E4EEA">
        <w:rPr>
          <w:rFonts w:asciiTheme="majorHAnsi" w:hAnsiTheme="majorHAnsi"/>
          <w:noProof/>
          <w:sz w:val="23"/>
          <w:szCs w:val="23"/>
        </w:rPr>
        <w:t xml:space="preserve"> that drives economic development. Some of the guidel</w:t>
      </w:r>
      <w:r w:rsidRPr="001E4EEA">
        <w:rPr>
          <w:rFonts w:asciiTheme="majorHAnsi" w:hAnsiTheme="majorHAnsi"/>
          <w:noProof/>
          <w:sz w:val="23"/>
          <w:szCs w:val="23"/>
        </w:rPr>
        <w:t>ines are required and others are recommended when tied t</w:t>
      </w:r>
      <w:r w:rsidR="00512206" w:rsidRPr="001E4EEA">
        <w:rPr>
          <w:rFonts w:asciiTheme="majorHAnsi" w:hAnsiTheme="majorHAnsi"/>
          <w:noProof/>
          <w:sz w:val="23"/>
          <w:szCs w:val="23"/>
        </w:rPr>
        <w:t>o</w:t>
      </w:r>
      <w:r w:rsidRPr="001E4EEA">
        <w:rPr>
          <w:rFonts w:asciiTheme="majorHAnsi" w:hAnsiTheme="majorHAnsi"/>
          <w:noProof/>
          <w:sz w:val="23"/>
          <w:szCs w:val="23"/>
        </w:rPr>
        <w:t xml:space="preserve"> incentives</w:t>
      </w:r>
      <w:r w:rsidR="00512206" w:rsidRPr="001E4EEA">
        <w:rPr>
          <w:rFonts w:asciiTheme="majorHAnsi" w:hAnsiTheme="majorHAnsi"/>
          <w:noProof/>
          <w:sz w:val="23"/>
          <w:szCs w:val="23"/>
        </w:rPr>
        <w:t>.</w:t>
      </w:r>
    </w:p>
    <w:p w14:paraId="61369C0F" w14:textId="77777777" w:rsidR="00473C09" w:rsidRPr="001E4EEA" w:rsidRDefault="00473C09" w:rsidP="00575012">
      <w:pPr>
        <w:tabs>
          <w:tab w:val="left" w:pos="4320"/>
        </w:tabs>
        <w:rPr>
          <w:rFonts w:asciiTheme="majorHAnsi" w:hAnsiTheme="majorHAnsi"/>
          <w:noProof/>
          <w:sz w:val="23"/>
          <w:szCs w:val="23"/>
        </w:rPr>
      </w:pPr>
    </w:p>
    <w:p w14:paraId="6E1FA3A7" w14:textId="5A0C77E6" w:rsidR="00575012" w:rsidRPr="001E4EEA" w:rsidRDefault="00575012" w:rsidP="00575012">
      <w:pPr>
        <w:tabs>
          <w:tab w:val="left" w:pos="4320"/>
        </w:tabs>
        <w:rPr>
          <w:rFonts w:asciiTheme="majorHAnsi" w:hAnsiTheme="majorHAnsi"/>
          <w:noProof/>
          <w:sz w:val="23"/>
          <w:szCs w:val="23"/>
        </w:rPr>
      </w:pPr>
      <w:r w:rsidRPr="001E4EEA">
        <w:rPr>
          <w:rFonts w:asciiTheme="majorHAnsi" w:hAnsiTheme="majorHAnsi"/>
          <w:noProof/>
          <w:sz w:val="23"/>
          <w:szCs w:val="23"/>
        </w:rPr>
        <w:t>Minnesota Design Center</w:t>
      </w:r>
      <w:r w:rsidRPr="001E4EEA">
        <w:rPr>
          <w:rFonts w:asciiTheme="majorHAnsi" w:hAnsiTheme="majorHAnsi"/>
          <w:noProof/>
          <w:sz w:val="23"/>
          <w:szCs w:val="23"/>
        </w:rPr>
        <w:tab/>
        <w:t>Center for Sustainable Building Research</w:t>
      </w:r>
    </w:p>
    <w:p w14:paraId="090B28A0" w14:textId="5B82A4E9" w:rsidR="00575012" w:rsidRPr="001E4EEA" w:rsidRDefault="00575012" w:rsidP="00575012">
      <w:pPr>
        <w:tabs>
          <w:tab w:val="left" w:pos="4320"/>
        </w:tabs>
        <w:rPr>
          <w:rFonts w:asciiTheme="majorHAnsi" w:hAnsiTheme="majorHAnsi"/>
          <w:noProof/>
          <w:sz w:val="23"/>
          <w:szCs w:val="23"/>
        </w:rPr>
      </w:pPr>
      <w:r w:rsidRPr="001E4EEA">
        <w:rPr>
          <w:rFonts w:asciiTheme="majorHAnsi" w:hAnsiTheme="majorHAnsi"/>
          <w:noProof/>
          <w:sz w:val="23"/>
          <w:szCs w:val="23"/>
        </w:rPr>
        <w:t>University of Minnesota</w:t>
      </w:r>
      <w:r w:rsidRPr="001E4EEA">
        <w:rPr>
          <w:rFonts w:asciiTheme="majorHAnsi" w:hAnsiTheme="majorHAnsi"/>
          <w:noProof/>
          <w:sz w:val="23"/>
          <w:szCs w:val="23"/>
        </w:rPr>
        <w:tab/>
        <w:t>University of Minnesota</w:t>
      </w:r>
    </w:p>
    <w:p w14:paraId="3E26C6EA" w14:textId="39566BA8" w:rsidR="00575012" w:rsidRPr="001E4EEA" w:rsidRDefault="00A05DE0" w:rsidP="00575012">
      <w:pPr>
        <w:tabs>
          <w:tab w:val="left" w:pos="4320"/>
        </w:tabs>
        <w:rPr>
          <w:rFonts w:asciiTheme="majorHAnsi" w:hAnsiTheme="majorHAnsi"/>
          <w:noProof/>
          <w:sz w:val="23"/>
          <w:szCs w:val="23"/>
        </w:rPr>
      </w:pPr>
      <w:hyperlink r:id="rId8" w:history="1">
        <w:r w:rsidR="00575012" w:rsidRPr="001E4EEA">
          <w:rPr>
            <w:rStyle w:val="Hyperlink"/>
            <w:rFonts w:asciiTheme="majorHAnsi" w:hAnsiTheme="majorHAnsi"/>
            <w:noProof/>
            <w:sz w:val="23"/>
            <w:szCs w:val="23"/>
          </w:rPr>
          <w:t>www.designcenter.umn.edu</w:t>
        </w:r>
      </w:hyperlink>
      <w:r w:rsidR="00575012" w:rsidRPr="001E4EEA">
        <w:rPr>
          <w:rFonts w:asciiTheme="majorHAnsi" w:hAnsiTheme="majorHAnsi"/>
          <w:noProof/>
          <w:sz w:val="23"/>
          <w:szCs w:val="23"/>
        </w:rPr>
        <w:tab/>
      </w:r>
      <w:hyperlink r:id="rId9" w:history="1">
        <w:r w:rsidR="00575012" w:rsidRPr="001E4EEA">
          <w:rPr>
            <w:rStyle w:val="Hyperlink"/>
            <w:rFonts w:asciiTheme="majorHAnsi" w:hAnsiTheme="majorHAnsi"/>
            <w:noProof/>
            <w:sz w:val="23"/>
            <w:szCs w:val="23"/>
          </w:rPr>
          <w:t>www.csbr.umn.edu</w:t>
        </w:r>
      </w:hyperlink>
    </w:p>
    <w:p w14:paraId="18DC3632" w14:textId="407E8864" w:rsidR="00575012" w:rsidRPr="001E4EEA" w:rsidRDefault="00575012" w:rsidP="00575012">
      <w:pPr>
        <w:tabs>
          <w:tab w:val="left" w:pos="4320"/>
        </w:tabs>
        <w:rPr>
          <w:rFonts w:asciiTheme="majorHAnsi" w:hAnsiTheme="majorHAnsi"/>
          <w:noProof/>
          <w:sz w:val="23"/>
          <w:szCs w:val="23"/>
        </w:rPr>
      </w:pPr>
      <w:r w:rsidRPr="001E4EEA">
        <w:rPr>
          <w:rFonts w:asciiTheme="majorHAnsi" w:hAnsiTheme="majorHAnsi"/>
          <w:noProof/>
          <w:sz w:val="23"/>
          <w:szCs w:val="23"/>
        </w:rPr>
        <w:t>Tom Fisher (tfisher@umn.edu)</w:t>
      </w:r>
      <w:r w:rsidRPr="001E4EEA">
        <w:rPr>
          <w:rFonts w:asciiTheme="majorHAnsi" w:hAnsiTheme="majorHAnsi"/>
          <w:noProof/>
          <w:sz w:val="23"/>
          <w:szCs w:val="23"/>
        </w:rPr>
        <w:tab/>
        <w:t>John Carmody (carmo001@umn.edu)</w:t>
      </w:r>
    </w:p>
    <w:sectPr w:rsidR="00575012" w:rsidRPr="001E4EEA" w:rsidSect="00A05DE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D32CEB"/>
    <w:rsid w:val="00061B26"/>
    <w:rsid w:val="0006245C"/>
    <w:rsid w:val="000C0F3E"/>
    <w:rsid w:val="000E09C3"/>
    <w:rsid w:val="001E4EEA"/>
    <w:rsid w:val="003B7665"/>
    <w:rsid w:val="00473C09"/>
    <w:rsid w:val="00512206"/>
    <w:rsid w:val="00575012"/>
    <w:rsid w:val="005A717D"/>
    <w:rsid w:val="006526E0"/>
    <w:rsid w:val="006932F8"/>
    <w:rsid w:val="007A5690"/>
    <w:rsid w:val="00A05DE0"/>
    <w:rsid w:val="00B20F80"/>
    <w:rsid w:val="00BA3358"/>
    <w:rsid w:val="00CA4176"/>
    <w:rsid w:val="00CB3495"/>
    <w:rsid w:val="00D120F9"/>
    <w:rsid w:val="00D32CEB"/>
    <w:rsid w:val="00F654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8F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690"/>
    <w:rPr>
      <w:rFonts w:ascii="Lucida Grande" w:hAnsi="Lucida Grande"/>
      <w:sz w:val="18"/>
      <w:szCs w:val="18"/>
    </w:rPr>
  </w:style>
  <w:style w:type="character" w:customStyle="1" w:styleId="BalloonTextChar">
    <w:name w:val="Balloon Text Char"/>
    <w:basedOn w:val="DefaultParagraphFont"/>
    <w:link w:val="BalloonText"/>
    <w:uiPriority w:val="99"/>
    <w:semiHidden/>
    <w:rsid w:val="007A5690"/>
    <w:rPr>
      <w:rFonts w:ascii="Lucida Grande" w:hAnsi="Lucida Grande"/>
      <w:sz w:val="18"/>
      <w:szCs w:val="18"/>
    </w:rPr>
  </w:style>
  <w:style w:type="character" w:styleId="Hyperlink">
    <w:name w:val="Hyperlink"/>
    <w:basedOn w:val="DefaultParagraphFont"/>
    <w:uiPriority w:val="99"/>
    <w:unhideWhenUsed/>
    <w:rsid w:val="0057501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b3mn.org/2030energystandard/" TargetMode="External"/><Relationship Id="rId8" Type="http://schemas.openxmlformats.org/officeDocument/2006/relationships/hyperlink" Target="http://www.designcenter.umn.edu" TargetMode="External"/><Relationship Id="rId9" Type="http://schemas.openxmlformats.org/officeDocument/2006/relationships/hyperlink" Target="http://www.csbr.umn.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361</Words>
  <Characters>2060</Characters>
  <Application>Microsoft Macintosh Word</Application>
  <DocSecurity>0</DocSecurity>
  <Lines>17</Lines>
  <Paragraphs>4</Paragraphs>
  <ScaleCrop>false</ScaleCrop>
  <Company>UMN</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Design</dc:creator>
  <cp:keywords/>
  <cp:lastModifiedBy>College of Design</cp:lastModifiedBy>
  <cp:revision>19</cp:revision>
  <cp:lastPrinted>2017-06-01T12:56:00Z</cp:lastPrinted>
  <dcterms:created xsi:type="dcterms:W3CDTF">2011-05-02T10:46:00Z</dcterms:created>
  <dcterms:modified xsi:type="dcterms:W3CDTF">2017-06-07T15:10:00Z</dcterms:modified>
</cp:coreProperties>
</file>