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41" w:rsidRPr="008E3286" w:rsidRDefault="00817FC2" w:rsidP="00EA7F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B2660C" w:rsidRPr="008E3286">
        <w:rPr>
          <w:b/>
          <w:sz w:val="28"/>
          <w:szCs w:val="28"/>
        </w:rPr>
        <w:t xml:space="preserve"> </w:t>
      </w:r>
      <w:r w:rsidR="001C0521" w:rsidRPr="008E3286">
        <w:rPr>
          <w:b/>
          <w:sz w:val="28"/>
          <w:szCs w:val="28"/>
        </w:rPr>
        <w:t xml:space="preserve">High-Impact </w:t>
      </w:r>
      <w:r w:rsidR="00B2660C" w:rsidRPr="008E3286">
        <w:rPr>
          <w:b/>
          <w:sz w:val="28"/>
          <w:szCs w:val="28"/>
        </w:rPr>
        <w:t xml:space="preserve">Policy </w:t>
      </w:r>
      <w:r w:rsidR="00EA7F41" w:rsidRPr="008E3286">
        <w:rPr>
          <w:b/>
          <w:sz w:val="28"/>
          <w:szCs w:val="28"/>
        </w:rPr>
        <w:t xml:space="preserve">Options </w:t>
      </w:r>
      <w:r w:rsidR="001C0521" w:rsidRPr="008E3286">
        <w:rPr>
          <w:b/>
          <w:sz w:val="28"/>
          <w:szCs w:val="28"/>
        </w:rPr>
        <w:t>for Low-Carbon Cities</w:t>
      </w:r>
    </w:p>
    <w:p w:rsidR="004C167F" w:rsidRDefault="004C167F" w:rsidP="00A31B0E">
      <w:pPr>
        <w:spacing w:after="0" w:line="240" w:lineRule="auto"/>
        <w:rPr>
          <w:sz w:val="20"/>
          <w:szCs w:val="20"/>
        </w:rPr>
      </w:pPr>
    </w:p>
    <w:p w:rsidR="009F3ADA" w:rsidRDefault="00A31B0E" w:rsidP="004C167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While </w:t>
      </w:r>
      <w:r w:rsidR="009F3ADA" w:rsidRPr="009F3ADA">
        <w:rPr>
          <w:sz w:val="20"/>
          <w:szCs w:val="20"/>
        </w:rPr>
        <w:t>Minnesota has mad</w:t>
      </w:r>
      <w:r>
        <w:rPr>
          <w:sz w:val="20"/>
          <w:szCs w:val="20"/>
        </w:rPr>
        <w:t xml:space="preserve">e significant strides to mitigate </w:t>
      </w:r>
      <w:r w:rsidR="009F3ADA" w:rsidRPr="009F3ADA">
        <w:rPr>
          <w:sz w:val="20"/>
          <w:szCs w:val="20"/>
        </w:rPr>
        <w:t>climate change</w:t>
      </w:r>
      <w:r>
        <w:rPr>
          <w:sz w:val="20"/>
          <w:szCs w:val="20"/>
        </w:rPr>
        <w:t xml:space="preserve"> - r</w:t>
      </w:r>
      <w:r w:rsidR="009F3ADA" w:rsidRPr="009F3ADA">
        <w:rPr>
          <w:sz w:val="20"/>
          <w:szCs w:val="20"/>
        </w:rPr>
        <w:t>enewable energy now accounts</w:t>
      </w:r>
      <w:r>
        <w:rPr>
          <w:sz w:val="20"/>
          <w:szCs w:val="20"/>
        </w:rPr>
        <w:t xml:space="preserve"> for 21% of </w:t>
      </w:r>
      <w:r w:rsidR="009F3ADA" w:rsidRPr="009F3ADA">
        <w:rPr>
          <w:sz w:val="20"/>
          <w:szCs w:val="20"/>
        </w:rPr>
        <w:t>in-state electricity</w:t>
      </w:r>
      <w:r>
        <w:rPr>
          <w:sz w:val="20"/>
          <w:szCs w:val="20"/>
        </w:rPr>
        <w:t xml:space="preserve"> </w:t>
      </w:r>
      <w:r w:rsidR="009F3ADA" w:rsidRPr="009F3ADA">
        <w:rPr>
          <w:sz w:val="20"/>
          <w:szCs w:val="20"/>
        </w:rPr>
        <w:t>generation</w:t>
      </w:r>
      <w:r w:rsidR="00EC13B5">
        <w:rPr>
          <w:sz w:val="20"/>
          <w:szCs w:val="20"/>
        </w:rPr>
        <w:t xml:space="preserve"> - we missed the Legislature’s</w:t>
      </w:r>
      <w:r w:rsidRPr="00A31B0E">
        <w:rPr>
          <w:sz w:val="20"/>
          <w:szCs w:val="20"/>
        </w:rPr>
        <w:t xml:space="preserve"> 2015</w:t>
      </w:r>
      <w:r>
        <w:rPr>
          <w:sz w:val="20"/>
          <w:szCs w:val="20"/>
        </w:rPr>
        <w:t xml:space="preserve"> </w:t>
      </w:r>
      <w:r w:rsidR="00EC13B5">
        <w:rPr>
          <w:sz w:val="20"/>
          <w:szCs w:val="20"/>
        </w:rPr>
        <w:t>greenhouse gas emission target</w:t>
      </w:r>
      <w:r w:rsidRPr="00A31B0E">
        <w:rPr>
          <w:sz w:val="20"/>
          <w:szCs w:val="20"/>
        </w:rPr>
        <w:t xml:space="preserve"> and will miss</w:t>
      </w:r>
      <w:r>
        <w:rPr>
          <w:sz w:val="20"/>
          <w:szCs w:val="20"/>
        </w:rPr>
        <w:t xml:space="preserve"> </w:t>
      </w:r>
      <w:r w:rsidR="00EC13B5">
        <w:rPr>
          <w:sz w:val="20"/>
          <w:szCs w:val="20"/>
        </w:rPr>
        <w:t xml:space="preserve">the 2025 target </w:t>
      </w:r>
      <w:r w:rsidRPr="00A31B0E">
        <w:rPr>
          <w:sz w:val="20"/>
          <w:szCs w:val="20"/>
        </w:rPr>
        <w:t>without additional work</w:t>
      </w:r>
      <w:r>
        <w:rPr>
          <w:sz w:val="20"/>
          <w:szCs w:val="20"/>
        </w:rPr>
        <w:t xml:space="preserve">. </w:t>
      </w:r>
      <w:r w:rsidRPr="004C167F">
        <w:rPr>
          <w:b/>
          <w:i/>
          <w:sz w:val="20"/>
          <w:szCs w:val="20"/>
        </w:rPr>
        <w:t xml:space="preserve">Fully one-third of these </w:t>
      </w:r>
      <w:r w:rsidR="004C167F">
        <w:rPr>
          <w:b/>
          <w:i/>
          <w:sz w:val="20"/>
          <w:szCs w:val="20"/>
        </w:rPr>
        <w:t xml:space="preserve">state </w:t>
      </w:r>
      <w:r w:rsidR="004C167F" w:rsidRPr="004C167F">
        <w:rPr>
          <w:b/>
          <w:i/>
          <w:sz w:val="20"/>
          <w:szCs w:val="20"/>
        </w:rPr>
        <w:t xml:space="preserve">GHG </w:t>
      </w:r>
      <w:r w:rsidRPr="004C167F">
        <w:rPr>
          <w:b/>
          <w:i/>
          <w:sz w:val="20"/>
          <w:szCs w:val="20"/>
        </w:rPr>
        <w:t>emissions will be determined by and occur within cities</w:t>
      </w:r>
      <w:r w:rsidRPr="00A31B0E">
        <w:rPr>
          <w:sz w:val="20"/>
          <w:szCs w:val="20"/>
        </w:rPr>
        <w:t xml:space="preserve">. </w:t>
      </w:r>
      <w:r w:rsidR="004C167F">
        <w:rPr>
          <w:sz w:val="20"/>
          <w:szCs w:val="20"/>
        </w:rPr>
        <w:t>32</w:t>
      </w:r>
      <w:r>
        <w:rPr>
          <w:sz w:val="20"/>
          <w:szCs w:val="20"/>
        </w:rPr>
        <w:t xml:space="preserve"> action</w:t>
      </w:r>
      <w:r w:rsidR="00B2660C">
        <w:rPr>
          <w:sz w:val="20"/>
          <w:szCs w:val="20"/>
        </w:rPr>
        <w:t xml:space="preserve"> option</w:t>
      </w:r>
      <w:r>
        <w:rPr>
          <w:sz w:val="20"/>
          <w:szCs w:val="20"/>
        </w:rPr>
        <w:t>s</w:t>
      </w:r>
      <w:r w:rsidR="00B2660C">
        <w:rPr>
          <w:sz w:val="20"/>
          <w:szCs w:val="20"/>
        </w:rPr>
        <w:t xml:space="preserve">, focused on </w:t>
      </w:r>
      <w:r w:rsidR="00B2660C" w:rsidRPr="00A85C7F">
        <w:rPr>
          <w:b/>
          <w:sz w:val="20"/>
          <w:szCs w:val="20"/>
        </w:rPr>
        <w:t>policies cities can choose to adopt</w:t>
      </w:r>
      <w:r w:rsidR="00B2660C">
        <w:rPr>
          <w:sz w:val="20"/>
          <w:szCs w:val="20"/>
        </w:rPr>
        <w:t>,</w:t>
      </w:r>
      <w:r w:rsidR="004C167F">
        <w:rPr>
          <w:sz w:val="20"/>
          <w:szCs w:val="20"/>
        </w:rPr>
        <w:t xml:space="preserve"> are recommended by the MN </w:t>
      </w:r>
      <w:r>
        <w:rPr>
          <w:sz w:val="20"/>
          <w:szCs w:val="20"/>
        </w:rPr>
        <w:t xml:space="preserve">GreenStep Cities program for city consideration. </w:t>
      </w:r>
      <w:r w:rsidR="00B2660C">
        <w:rPr>
          <w:sz w:val="20"/>
          <w:szCs w:val="20"/>
        </w:rPr>
        <w:t>A</w:t>
      </w:r>
      <w:r w:rsidR="00BF0A6A">
        <w:rPr>
          <w:sz w:val="20"/>
          <w:szCs w:val="20"/>
        </w:rPr>
        <w:t>nalysis shows that these 3</w:t>
      </w:r>
      <w:r w:rsidR="00817FC2">
        <w:rPr>
          <w:sz w:val="20"/>
          <w:szCs w:val="20"/>
        </w:rPr>
        <w:t>2</w:t>
      </w:r>
      <w:r w:rsidR="004C167F">
        <w:rPr>
          <w:sz w:val="20"/>
          <w:szCs w:val="20"/>
        </w:rPr>
        <w:t xml:space="preserve"> a</w:t>
      </w:r>
      <w:r w:rsidR="00B2660C">
        <w:rPr>
          <w:sz w:val="20"/>
          <w:szCs w:val="20"/>
        </w:rPr>
        <w:t xml:space="preserve">ctions deliver </w:t>
      </w:r>
      <w:r>
        <w:rPr>
          <w:sz w:val="20"/>
          <w:szCs w:val="20"/>
        </w:rPr>
        <w:t>(1)</w:t>
      </w:r>
      <w:r w:rsidR="00B2660C">
        <w:rPr>
          <w:sz w:val="20"/>
          <w:szCs w:val="20"/>
        </w:rPr>
        <w:t xml:space="preserve"> significant GHG reduct</w:t>
      </w:r>
      <w:r w:rsidR="00EC13B5">
        <w:rPr>
          <w:sz w:val="20"/>
          <w:szCs w:val="20"/>
        </w:rPr>
        <w:t>ions, (2) long-term</w:t>
      </w:r>
      <w:r w:rsidR="00B2660C">
        <w:rPr>
          <w:sz w:val="20"/>
          <w:szCs w:val="20"/>
        </w:rPr>
        <w:t xml:space="preserve"> and </w:t>
      </w:r>
      <w:r w:rsidR="004C167F">
        <w:rPr>
          <w:sz w:val="20"/>
          <w:szCs w:val="20"/>
        </w:rPr>
        <w:t>(</w:t>
      </w:r>
      <w:r w:rsidR="00EC13B5">
        <w:rPr>
          <w:sz w:val="20"/>
          <w:szCs w:val="20"/>
        </w:rPr>
        <w:t>for many</w:t>
      </w:r>
      <w:r w:rsidR="00B2660C">
        <w:rPr>
          <w:sz w:val="20"/>
          <w:szCs w:val="20"/>
        </w:rPr>
        <w:t xml:space="preserve"> actions</w:t>
      </w:r>
      <w:r w:rsidR="004C167F">
        <w:rPr>
          <w:sz w:val="20"/>
          <w:szCs w:val="20"/>
        </w:rPr>
        <w:t>)</w:t>
      </w:r>
      <w:r w:rsidR="00B2660C">
        <w:rPr>
          <w:sz w:val="20"/>
          <w:szCs w:val="20"/>
        </w:rPr>
        <w:t xml:space="preserve"> short-term cost savings, and (3) sustainability co-benefits such as improved quality of life for community members </w:t>
      </w:r>
      <w:r w:rsidR="00BF22B5">
        <w:rPr>
          <w:sz w:val="20"/>
          <w:szCs w:val="20"/>
        </w:rPr>
        <w:t>and environmental benefits such as improved local ecosystems.</w:t>
      </w:r>
      <w:r w:rsidR="0030277B">
        <w:rPr>
          <w:sz w:val="20"/>
          <w:szCs w:val="20"/>
        </w:rPr>
        <w:t xml:space="preserve"> </w:t>
      </w:r>
      <w:r w:rsidR="00F639DE">
        <w:rPr>
          <w:sz w:val="20"/>
          <w:szCs w:val="20"/>
        </w:rPr>
        <w:t>Actions supportive of these policies</w:t>
      </w:r>
      <w:r w:rsidR="0030277B" w:rsidRPr="0030277B">
        <w:rPr>
          <w:sz w:val="20"/>
          <w:szCs w:val="20"/>
        </w:rPr>
        <w:t xml:space="preserve"> - such as community sustainability education and engagement</w:t>
      </w:r>
      <w:r w:rsidR="00F639DE">
        <w:rPr>
          <w:sz w:val="20"/>
          <w:szCs w:val="20"/>
        </w:rPr>
        <w:t>, and work with the local school district and businesses</w:t>
      </w:r>
      <w:r w:rsidR="0030277B" w:rsidRPr="0030277B">
        <w:rPr>
          <w:sz w:val="20"/>
          <w:szCs w:val="20"/>
        </w:rPr>
        <w:t xml:space="preserve"> - are included on the GreenStep web site.</w:t>
      </w:r>
    </w:p>
    <w:p w:rsidR="004C167F" w:rsidRDefault="004C167F" w:rsidP="004C167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See online m</w:t>
      </w:r>
      <w:r w:rsidRPr="009F3ADA">
        <w:rPr>
          <w:sz w:val="20"/>
          <w:szCs w:val="20"/>
        </w:rPr>
        <w:t xml:space="preserve">odel ordinances, policies and related resources </w:t>
      </w:r>
      <w:r>
        <w:rPr>
          <w:sz w:val="20"/>
          <w:szCs w:val="20"/>
        </w:rPr>
        <w:t>linked to each policy option</w:t>
      </w:r>
      <w:r w:rsidR="00EE28D4">
        <w:rPr>
          <w:sz w:val="20"/>
          <w:szCs w:val="20"/>
        </w:rPr>
        <w:t xml:space="preserve"> below. Each option is a unique GreenStep best practice action, whose number is noted</w:t>
      </w:r>
      <w:r>
        <w:rPr>
          <w:sz w:val="20"/>
          <w:szCs w:val="20"/>
        </w:rPr>
        <w:t xml:space="preserve">. </w:t>
      </w:r>
    </w:p>
    <w:p w:rsidR="00EE28D4" w:rsidRDefault="00EE28D4" w:rsidP="00BA2A28">
      <w:pPr>
        <w:spacing w:after="0" w:line="240" w:lineRule="auto"/>
        <w:jc w:val="center"/>
        <w:rPr>
          <w:b/>
        </w:rPr>
      </w:pPr>
    </w:p>
    <w:p w:rsidR="00EA7F41" w:rsidRPr="004C167F" w:rsidRDefault="007862F8" w:rsidP="00BA2A28">
      <w:pPr>
        <w:spacing w:after="0" w:line="240" w:lineRule="auto"/>
        <w:jc w:val="center"/>
        <w:rPr>
          <w:b/>
        </w:rPr>
      </w:pPr>
      <w:r w:rsidRPr="004C167F">
        <w:rPr>
          <w:b/>
        </w:rPr>
        <w:t>Building Policy</w:t>
      </w:r>
      <w:r w:rsidR="00E95FDD" w:rsidRPr="004C167F">
        <w:rPr>
          <w:b/>
        </w:rPr>
        <w:t xml:space="preserve"> Options</w:t>
      </w:r>
    </w:p>
    <w:p w:rsidR="00AB4AEF" w:rsidRDefault="007862F8" w:rsidP="0013116B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7862F8">
        <w:t>For e</w:t>
      </w:r>
      <w:r w:rsidR="00AB4AEF" w:rsidRPr="007862F8">
        <w:t>xisting buildings</w:t>
      </w:r>
      <w:r w:rsidR="004C167F">
        <w:t xml:space="preserve">   </w:t>
      </w:r>
      <w:bookmarkStart w:id="0" w:name="_GoBack"/>
      <w:bookmarkEnd w:id="0"/>
    </w:p>
    <w:p w:rsidR="00AB4AEF" w:rsidRDefault="007D28DE" w:rsidP="0013116B">
      <w:pPr>
        <w:pStyle w:val="ListParagraph"/>
        <w:numPr>
          <w:ilvl w:val="1"/>
          <w:numId w:val="13"/>
        </w:numPr>
        <w:spacing w:after="0" w:line="240" w:lineRule="auto"/>
        <w:ind w:left="1080"/>
      </w:pPr>
      <w:hyperlink r:id="rId8" w:history="1">
        <w:r w:rsidR="007862F8" w:rsidRPr="00DB427B">
          <w:rPr>
            <w:rStyle w:val="Hyperlink"/>
            <w:b/>
          </w:rPr>
          <w:t>Use</w:t>
        </w:r>
        <w:r w:rsidR="00AB4AEF" w:rsidRPr="00DB427B">
          <w:rPr>
            <w:rStyle w:val="Hyperlink"/>
            <w:b/>
          </w:rPr>
          <w:t xml:space="preserve"> the State’s B3</w:t>
        </w:r>
      </w:hyperlink>
      <w:r w:rsidR="00AB4AEF">
        <w:t xml:space="preserve"> public building benchmarking tool</w:t>
      </w:r>
      <w:r w:rsidR="001D53DE">
        <w:t xml:space="preserve"> to target</w:t>
      </w:r>
      <w:r w:rsidR="00425B1A">
        <w:t xml:space="preserve"> energy-</w:t>
      </w:r>
      <w:r w:rsidR="00486837">
        <w:t>efficiency improvement</w:t>
      </w:r>
      <w:r w:rsidR="001D53DE">
        <w:t>s</w:t>
      </w:r>
      <w:r w:rsidR="00EE28D4">
        <w:t xml:space="preserve">   {</w:t>
      </w:r>
      <w:r w:rsidR="00EE28D4">
        <w:rPr>
          <w:i/>
        </w:rPr>
        <w:t>1.1</w:t>
      </w:r>
      <w:r w:rsidR="00EE28D4">
        <w:t>}</w:t>
      </w:r>
      <w:r w:rsidR="001D53DE">
        <w:t xml:space="preserve"> </w:t>
      </w:r>
      <w:r w:rsidR="00EE28D4">
        <w:t xml:space="preserve"> </w:t>
      </w:r>
    </w:p>
    <w:p w:rsidR="00AB4AEF" w:rsidRDefault="007D28DE" w:rsidP="0013116B">
      <w:pPr>
        <w:pStyle w:val="ListParagraph"/>
        <w:numPr>
          <w:ilvl w:val="1"/>
          <w:numId w:val="13"/>
        </w:numPr>
        <w:spacing w:after="0" w:line="240" w:lineRule="auto"/>
        <w:ind w:left="1080"/>
      </w:pPr>
      <w:hyperlink r:id="rId9" w:history="1">
        <w:r w:rsidR="007862F8" w:rsidRPr="00DB427B">
          <w:rPr>
            <w:rStyle w:val="Hyperlink"/>
            <w:b/>
          </w:rPr>
          <w:t xml:space="preserve">Require </w:t>
        </w:r>
        <w:r w:rsidR="00AB4AEF" w:rsidRPr="00DB427B">
          <w:rPr>
            <w:rStyle w:val="Hyperlink"/>
            <w:b/>
          </w:rPr>
          <w:t xml:space="preserve">commercial </w:t>
        </w:r>
        <w:r w:rsidR="007862F8" w:rsidRPr="00DB427B">
          <w:rPr>
            <w:rStyle w:val="Hyperlink"/>
            <w:b/>
          </w:rPr>
          <w:t xml:space="preserve">building </w:t>
        </w:r>
        <w:r w:rsidR="00AB4AEF" w:rsidRPr="00DB427B">
          <w:rPr>
            <w:rStyle w:val="Hyperlink"/>
            <w:b/>
          </w:rPr>
          <w:t>energy benchmarking</w:t>
        </w:r>
      </w:hyperlink>
      <w:r w:rsidR="00AB4AEF">
        <w:t xml:space="preserve"> </w:t>
      </w:r>
      <w:r w:rsidR="007862F8">
        <w:t xml:space="preserve">(using Hennepin Co. </w:t>
      </w:r>
      <w:r w:rsidR="00AB4AEF">
        <w:t>registry</w:t>
      </w:r>
      <w:r w:rsidR="007862F8">
        <w:t>)</w:t>
      </w:r>
      <w:r w:rsidR="001D53DE">
        <w:t xml:space="preserve"> to incentivize energy</w:t>
      </w:r>
      <w:r w:rsidR="00EC13B5">
        <w:t xml:space="preserve">- </w:t>
      </w:r>
      <w:r w:rsidR="001D53DE">
        <w:t xml:space="preserve"> efficiency</w:t>
      </w:r>
      <w:r w:rsidR="00EE28D4">
        <w:t xml:space="preserve"> </w:t>
      </w:r>
      <w:r w:rsidR="00EC13B5">
        <w:t>improvements</w:t>
      </w:r>
      <w:r w:rsidR="003635F4">
        <w:t xml:space="preserve"> averaging 1.7% per year</w:t>
      </w:r>
      <w:r w:rsidR="00EC13B5">
        <w:t xml:space="preserve"> </w:t>
      </w:r>
      <w:r w:rsidR="00EE28D4">
        <w:t xml:space="preserve"> {</w:t>
      </w:r>
      <w:r w:rsidR="00EE28D4">
        <w:rPr>
          <w:i/>
        </w:rPr>
        <w:t>2.3</w:t>
      </w:r>
      <w:r w:rsidR="00EE28D4">
        <w:t xml:space="preserve">} </w:t>
      </w:r>
    </w:p>
    <w:p w:rsidR="00AB4AEF" w:rsidRDefault="007D28DE" w:rsidP="0013116B">
      <w:pPr>
        <w:pStyle w:val="ListParagraph"/>
        <w:numPr>
          <w:ilvl w:val="1"/>
          <w:numId w:val="13"/>
        </w:numPr>
        <w:spacing w:after="0" w:line="240" w:lineRule="auto"/>
        <w:ind w:left="1080"/>
      </w:pPr>
      <w:hyperlink r:id="rId10" w:history="1">
        <w:r w:rsidR="00315039" w:rsidRPr="00DB427B">
          <w:rPr>
            <w:rStyle w:val="Hyperlink"/>
            <w:b/>
          </w:rPr>
          <w:t>Require</w:t>
        </w:r>
        <w:r w:rsidR="00BA2A28" w:rsidRPr="00DB427B">
          <w:rPr>
            <w:rStyle w:val="Hyperlink"/>
            <w:b/>
          </w:rPr>
          <w:t xml:space="preserve"> </w:t>
        </w:r>
        <w:r w:rsidR="00AB4AEF" w:rsidRPr="00DB427B">
          <w:rPr>
            <w:rStyle w:val="Hyperlink"/>
            <w:b/>
          </w:rPr>
          <w:t>Truth-in-Housing</w:t>
        </w:r>
      </w:hyperlink>
      <w:r w:rsidR="00AB4AEF">
        <w:t xml:space="preserve"> residential reporting</w:t>
      </w:r>
      <w:r w:rsidR="001D53DE">
        <w:t xml:space="preserve"> to</w:t>
      </w:r>
      <w:r w:rsidR="00315039">
        <w:t xml:space="preserve"> incentivize and</w:t>
      </w:r>
      <w:r w:rsidR="001D53DE">
        <w:t xml:space="preserve"> better price more </w:t>
      </w:r>
      <w:r w:rsidR="00C947AC">
        <w:t>energy-</w:t>
      </w:r>
      <w:r w:rsidR="001D53DE">
        <w:t>efficient housing</w:t>
      </w:r>
      <w:r w:rsidR="00EE28D4">
        <w:t xml:space="preserve">   {</w:t>
      </w:r>
      <w:r w:rsidR="00EE28D4">
        <w:rPr>
          <w:i/>
        </w:rPr>
        <w:t>2.3</w:t>
      </w:r>
      <w:r w:rsidR="00EE28D4">
        <w:t>}</w:t>
      </w:r>
    </w:p>
    <w:p w:rsidR="00AB4AEF" w:rsidRDefault="007D28DE" w:rsidP="0013116B">
      <w:pPr>
        <w:pStyle w:val="ListParagraph"/>
        <w:numPr>
          <w:ilvl w:val="1"/>
          <w:numId w:val="13"/>
        </w:numPr>
        <w:spacing w:after="0" w:line="240" w:lineRule="auto"/>
        <w:ind w:left="1080"/>
      </w:pPr>
      <w:hyperlink r:id="rId11" w:history="1">
        <w:r w:rsidR="00315039" w:rsidRPr="00DB427B">
          <w:rPr>
            <w:rStyle w:val="Hyperlink"/>
            <w:b/>
          </w:rPr>
          <w:t>Dedicate</w:t>
        </w:r>
        <w:r w:rsidR="00BA2A28" w:rsidRPr="00DB427B">
          <w:rPr>
            <w:rStyle w:val="Hyperlink"/>
            <w:b/>
          </w:rPr>
          <w:t xml:space="preserve"> </w:t>
        </w:r>
        <w:r w:rsidR="00EC13B5">
          <w:rPr>
            <w:rStyle w:val="Hyperlink"/>
            <w:b/>
          </w:rPr>
          <w:t>residential</w:t>
        </w:r>
        <w:r w:rsidR="00AB4AEF" w:rsidRPr="00DB427B">
          <w:rPr>
            <w:rStyle w:val="Hyperlink"/>
            <w:b/>
          </w:rPr>
          <w:t>/commercial improvement</w:t>
        </w:r>
      </w:hyperlink>
      <w:r w:rsidR="00AB4AEF">
        <w:t xml:space="preserve"> funding</w:t>
      </w:r>
      <w:r w:rsidR="001D53DE">
        <w:t xml:space="preserve"> for energy efficiency and </w:t>
      </w:r>
      <w:proofErr w:type="spellStart"/>
      <w:r w:rsidR="001D53DE">
        <w:t>renewables</w:t>
      </w:r>
      <w:proofErr w:type="spellEnd"/>
      <w:r w:rsidR="00EE28D4">
        <w:t xml:space="preserve">   {</w:t>
      </w:r>
      <w:r w:rsidR="00EE28D4">
        <w:rPr>
          <w:i/>
        </w:rPr>
        <w:t>2.6</w:t>
      </w:r>
      <w:r w:rsidR="00EE28D4">
        <w:t>}</w:t>
      </w:r>
    </w:p>
    <w:p w:rsidR="00BA2A28" w:rsidRPr="00BA2A28" w:rsidRDefault="00BA2A28" w:rsidP="00BA2A28">
      <w:pPr>
        <w:pStyle w:val="ListParagraph"/>
        <w:spacing w:after="0" w:line="240" w:lineRule="auto"/>
      </w:pPr>
    </w:p>
    <w:p w:rsidR="0077162C" w:rsidRDefault="007862F8" w:rsidP="0013116B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BA2A28">
        <w:t>For n</w:t>
      </w:r>
      <w:r w:rsidR="00D961DF" w:rsidRPr="00BA2A28">
        <w:t>ew buildings</w:t>
      </w:r>
      <w:r w:rsidR="0077162C">
        <w:t xml:space="preserve"> </w:t>
      </w:r>
      <w:r w:rsidR="00C9633F">
        <w:t xml:space="preserve"> </w:t>
      </w:r>
    </w:p>
    <w:p w:rsidR="00315039" w:rsidRDefault="007D28DE" w:rsidP="0013116B">
      <w:pPr>
        <w:pStyle w:val="ListParagraph"/>
        <w:numPr>
          <w:ilvl w:val="0"/>
          <w:numId w:val="16"/>
        </w:numPr>
        <w:spacing w:after="0" w:line="240" w:lineRule="auto"/>
        <w:ind w:left="1080"/>
      </w:pPr>
      <w:hyperlink r:id="rId12" w:history="1">
        <w:r w:rsidR="00BA2A28" w:rsidRPr="00F32734">
          <w:rPr>
            <w:rStyle w:val="Hyperlink"/>
            <w:b/>
          </w:rPr>
          <w:t>Require</w:t>
        </w:r>
        <w:r w:rsidR="00C947AC" w:rsidRPr="00F32734">
          <w:rPr>
            <w:rStyle w:val="Hyperlink"/>
            <w:b/>
          </w:rPr>
          <w:t xml:space="preserve"> the</w:t>
        </w:r>
        <w:r w:rsidR="00BA2A28" w:rsidRPr="00F32734">
          <w:rPr>
            <w:rStyle w:val="Hyperlink"/>
            <w:b/>
          </w:rPr>
          <w:t xml:space="preserve"> </w:t>
        </w:r>
        <w:r w:rsidR="007862F8" w:rsidRPr="00F32734">
          <w:rPr>
            <w:rStyle w:val="Hyperlink"/>
            <w:b/>
          </w:rPr>
          <w:t>Sustainable Buildings 2030</w:t>
        </w:r>
      </w:hyperlink>
      <w:r w:rsidR="007862F8">
        <w:t xml:space="preserve"> </w:t>
      </w:r>
      <w:r w:rsidR="00BA2A28">
        <w:t xml:space="preserve">state </w:t>
      </w:r>
      <w:r w:rsidR="00315039">
        <w:t>energy standard for</w:t>
      </w:r>
      <w:r w:rsidR="00EA7F41">
        <w:t xml:space="preserve"> city, </w:t>
      </w:r>
      <w:r w:rsidR="0077162C">
        <w:t xml:space="preserve">and/or </w:t>
      </w:r>
      <w:r w:rsidR="00EA7F41">
        <w:t>commercial</w:t>
      </w:r>
      <w:r w:rsidR="00EC13B5">
        <w:t>/industrial</w:t>
      </w:r>
      <w:r w:rsidR="0077162C">
        <w:t>, and/or residential</w:t>
      </w:r>
      <w:r w:rsidR="00EA7F41">
        <w:t xml:space="preserve"> properties</w:t>
      </w:r>
      <w:r w:rsidR="00315039">
        <w:t xml:space="preserve"> </w:t>
      </w:r>
      <w:r w:rsidR="00C947AC">
        <w:t>that</w:t>
      </w:r>
      <w:r w:rsidR="00EE28D4">
        <w:t xml:space="preserve">   {</w:t>
      </w:r>
      <w:r w:rsidR="00EE28D4">
        <w:rPr>
          <w:i/>
        </w:rPr>
        <w:t>3.3</w:t>
      </w:r>
      <w:r w:rsidR="00EE28D4">
        <w:t>}</w:t>
      </w:r>
    </w:p>
    <w:p w:rsidR="00315039" w:rsidRDefault="00BA2A28" w:rsidP="0013116B">
      <w:pPr>
        <w:pStyle w:val="ListParagraph"/>
        <w:numPr>
          <w:ilvl w:val="1"/>
          <w:numId w:val="16"/>
        </w:numPr>
        <w:spacing w:after="0" w:line="240" w:lineRule="auto"/>
        <w:ind w:left="1800"/>
      </w:pPr>
      <w:r>
        <w:t xml:space="preserve">receive </w:t>
      </w:r>
      <w:r w:rsidR="00332F0D" w:rsidRPr="00332F0D">
        <w:t>city fina</w:t>
      </w:r>
      <w:r>
        <w:t xml:space="preserve">ncial support, and/or </w:t>
      </w:r>
    </w:p>
    <w:p w:rsidR="00332F0D" w:rsidRDefault="00BA2A28" w:rsidP="0013116B">
      <w:pPr>
        <w:pStyle w:val="ListParagraph"/>
        <w:numPr>
          <w:ilvl w:val="1"/>
          <w:numId w:val="16"/>
        </w:numPr>
        <w:spacing w:after="0" w:line="240" w:lineRule="auto"/>
        <w:ind w:left="1800"/>
      </w:pPr>
      <w:r>
        <w:t xml:space="preserve">require </w:t>
      </w:r>
      <w:r w:rsidR="00332F0D" w:rsidRPr="00332F0D">
        <w:t xml:space="preserve">city regulatory </w:t>
      </w:r>
      <w:r w:rsidR="00006720">
        <w:t>approval (planned unit developments, conditional use permit</w:t>
      </w:r>
      <w:r w:rsidR="00332F0D" w:rsidRPr="00332F0D">
        <w:t xml:space="preserve">s, </w:t>
      </w:r>
      <w:proofErr w:type="spellStart"/>
      <w:r w:rsidR="00332F0D">
        <w:t>rezonings</w:t>
      </w:r>
      <w:proofErr w:type="spellEnd"/>
      <w:r w:rsidR="00332F0D">
        <w:t>, variances</w:t>
      </w:r>
      <w:r w:rsidR="00332F0D" w:rsidRPr="00332F0D">
        <w:t>)</w:t>
      </w:r>
    </w:p>
    <w:p w:rsidR="00A24D85" w:rsidRDefault="00143F2D" w:rsidP="00A24D85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theme="minorHAnsi"/>
          <w:color w:val="70AD47" w:themeColor="accent6"/>
          <w:sz w:val="20"/>
          <w:szCs w:val="20"/>
        </w:rPr>
      </w:pPr>
      <w:r w:rsidRPr="00A24D85">
        <w:rPr>
          <w:rFonts w:cstheme="minorHAnsi"/>
          <w:color w:val="70AD47" w:themeColor="accent6"/>
          <w:sz w:val="20"/>
          <w:szCs w:val="20"/>
        </w:rPr>
        <w:t xml:space="preserve">Proposed State Legislation to </w:t>
      </w:r>
      <w:r w:rsidRPr="00A24D85">
        <w:rPr>
          <w:rFonts w:cstheme="minorHAnsi"/>
          <w:b/>
          <w:color w:val="70AD47" w:themeColor="accent6"/>
          <w:sz w:val="20"/>
          <w:szCs w:val="20"/>
        </w:rPr>
        <w:t>Enable MN Cities to adopt a uniform stretch code</w:t>
      </w:r>
      <w:r w:rsidRPr="00A24D85">
        <w:rPr>
          <w:rFonts w:cstheme="minorHAnsi"/>
          <w:color w:val="70AD47" w:themeColor="accent6"/>
          <w:sz w:val="20"/>
          <w:szCs w:val="20"/>
        </w:rPr>
        <w:t xml:space="preserve"> </w:t>
      </w:r>
    </w:p>
    <w:p w:rsidR="00143F2D" w:rsidRPr="00A24D85" w:rsidRDefault="00143F2D" w:rsidP="00A24D85">
      <w:pPr>
        <w:pStyle w:val="ListParagraph"/>
        <w:spacing w:after="0" w:line="240" w:lineRule="auto"/>
        <w:ind w:left="1080"/>
        <w:rPr>
          <w:rFonts w:cstheme="minorHAnsi"/>
          <w:color w:val="70AD47" w:themeColor="accent6"/>
          <w:sz w:val="20"/>
          <w:szCs w:val="20"/>
        </w:rPr>
      </w:pPr>
      <w:r w:rsidRPr="00A24D85">
        <w:rPr>
          <w:rFonts w:cstheme="minorHAnsi"/>
          <w:sz w:val="20"/>
          <w:szCs w:val="20"/>
        </w:rPr>
        <w:t xml:space="preserve">This provision was included in the House Energy/Jobs Bill in 2019 but not approved) with support from Minneapolis, St. Louis Park and other cities.  </w:t>
      </w:r>
      <w:hyperlink r:id="rId13" w:history="1">
        <w:r w:rsidRPr="00A24D85">
          <w:rPr>
            <w:rStyle w:val="Hyperlink"/>
            <w:rFonts w:cstheme="minorHAnsi"/>
            <w:sz w:val="20"/>
            <w:szCs w:val="20"/>
          </w:rPr>
          <w:t>https://fresh-energy.org/whats-happening-at-the-legislature-march-</w:t>
        </w:r>
        <w:r w:rsidRPr="00A24D85">
          <w:rPr>
            <w:rStyle w:val="Hyperlink"/>
            <w:rFonts w:cstheme="minorHAnsi"/>
            <w:sz w:val="20"/>
            <w:szCs w:val="20"/>
          </w:rPr>
          <w:t>update/</w:t>
        </w:r>
      </w:hyperlink>
      <w:r w:rsidRPr="00A24D85">
        <w:rPr>
          <w:rFonts w:cstheme="minorHAnsi"/>
          <w:sz w:val="20"/>
          <w:szCs w:val="20"/>
        </w:rPr>
        <w:t xml:space="preserve">     The 2016 EQB CSEO report quantifies the financial, energy and carbon savings of new residential and commercial buildings in MN being built to meet SB 2030 standards.  </w:t>
      </w:r>
      <w:r w:rsidRPr="00A24D85">
        <w:rPr>
          <w:rStyle w:val="HTMLCite"/>
          <w:rFonts w:cstheme="minorHAnsi"/>
          <w:i w:val="0"/>
          <w:iCs w:val="0"/>
          <w:color w:val="006621"/>
          <w:sz w:val="20"/>
          <w:szCs w:val="20"/>
        </w:rPr>
        <w:fldChar w:fldCharType="begin"/>
      </w:r>
      <w:r w:rsidRPr="00A24D85">
        <w:rPr>
          <w:rStyle w:val="HTMLCite"/>
          <w:rFonts w:cstheme="minorHAnsi"/>
          <w:i w:val="0"/>
          <w:iCs w:val="0"/>
          <w:color w:val="006621"/>
          <w:sz w:val="20"/>
          <w:szCs w:val="20"/>
        </w:rPr>
        <w:instrText xml:space="preserve"> HYPERLINK "https://www.eqb.state.mn.us/content/climate-change  </w:instrText>
      </w:r>
    </w:p>
    <w:p w:rsidR="00143F2D" w:rsidRPr="00AF0B21" w:rsidRDefault="00143F2D" w:rsidP="00143F2D">
      <w:pPr>
        <w:shd w:val="clear" w:color="auto" w:fill="FFFFFF"/>
        <w:rPr>
          <w:rStyle w:val="Hyperlink"/>
          <w:rFonts w:cstheme="minorHAnsi"/>
          <w:sz w:val="20"/>
          <w:szCs w:val="20"/>
        </w:rPr>
      </w:pPr>
      <w:r w:rsidRPr="00AF0B21">
        <w:rPr>
          <w:rStyle w:val="HTMLCite"/>
          <w:rFonts w:cstheme="minorHAnsi"/>
          <w:i w:val="0"/>
          <w:iCs w:val="0"/>
          <w:color w:val="006621"/>
          <w:sz w:val="20"/>
          <w:szCs w:val="20"/>
        </w:rPr>
        <w:instrText xml:space="preserve">" </w:instrText>
      </w:r>
      <w:r w:rsidRPr="00AF0B21">
        <w:rPr>
          <w:rStyle w:val="HTMLCite"/>
          <w:rFonts w:cstheme="minorHAnsi"/>
          <w:i w:val="0"/>
          <w:iCs w:val="0"/>
          <w:color w:val="006621"/>
          <w:sz w:val="20"/>
          <w:szCs w:val="20"/>
        </w:rPr>
        <w:fldChar w:fldCharType="separate"/>
      </w:r>
      <w:r w:rsidRPr="00AF0B21">
        <w:rPr>
          <w:rStyle w:val="Hyperlink"/>
          <w:rFonts w:cstheme="minorHAnsi"/>
          <w:sz w:val="20"/>
          <w:szCs w:val="20"/>
        </w:rPr>
        <w:t xml:space="preserve">https://www.eqb.state.mn.us/content/climate-change  </w:t>
      </w:r>
    </w:p>
    <w:p w:rsidR="00143F2D" w:rsidRDefault="00143F2D" w:rsidP="00143F2D">
      <w:pPr>
        <w:spacing w:after="0" w:line="240" w:lineRule="auto"/>
      </w:pPr>
      <w:r w:rsidRPr="00AF0B21">
        <w:rPr>
          <w:rStyle w:val="HTMLCite"/>
          <w:rFonts w:cstheme="minorHAnsi"/>
          <w:i w:val="0"/>
          <w:iCs w:val="0"/>
          <w:color w:val="006621"/>
          <w:sz w:val="20"/>
          <w:szCs w:val="20"/>
        </w:rPr>
        <w:fldChar w:fldCharType="end"/>
      </w:r>
    </w:p>
    <w:p w:rsidR="00D961DF" w:rsidRPr="004C167F" w:rsidRDefault="00D961DF" w:rsidP="00BA2A28">
      <w:pPr>
        <w:spacing w:after="0" w:line="240" w:lineRule="auto"/>
        <w:jc w:val="center"/>
        <w:rPr>
          <w:b/>
        </w:rPr>
      </w:pPr>
      <w:r w:rsidRPr="004C167F">
        <w:rPr>
          <w:b/>
        </w:rPr>
        <w:t>Land Use</w:t>
      </w:r>
      <w:r w:rsidR="00E95FDD" w:rsidRPr="004C167F">
        <w:rPr>
          <w:b/>
        </w:rPr>
        <w:t xml:space="preserve"> </w:t>
      </w:r>
      <w:r w:rsidR="007862F8" w:rsidRPr="004C167F">
        <w:rPr>
          <w:b/>
        </w:rPr>
        <w:t xml:space="preserve">Policy </w:t>
      </w:r>
      <w:r w:rsidR="00E95FDD" w:rsidRPr="004C167F">
        <w:rPr>
          <w:b/>
        </w:rPr>
        <w:t>Options</w:t>
      </w:r>
    </w:p>
    <w:p w:rsidR="00D961DF" w:rsidRPr="00C9633F" w:rsidRDefault="00486837" w:rsidP="0013116B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For one or more</w:t>
      </w:r>
      <w:r w:rsidR="00C9633F" w:rsidRPr="00BA2A28">
        <w:t xml:space="preserve"> zoning districts</w:t>
      </w:r>
      <w:r w:rsidR="00EE28D4">
        <w:rPr>
          <w:b/>
        </w:rPr>
        <w:t xml:space="preserve">  </w:t>
      </w:r>
    </w:p>
    <w:p w:rsidR="00C9633F" w:rsidRDefault="007D28DE" w:rsidP="0013116B">
      <w:pPr>
        <w:pStyle w:val="ListParagraph"/>
        <w:numPr>
          <w:ilvl w:val="0"/>
          <w:numId w:val="17"/>
        </w:numPr>
        <w:spacing w:after="0" w:line="240" w:lineRule="auto"/>
        <w:ind w:left="1080"/>
      </w:pPr>
      <w:hyperlink r:id="rId14" w:history="1">
        <w:r w:rsidR="007862F8" w:rsidRPr="00194850">
          <w:rPr>
            <w:rStyle w:val="Hyperlink"/>
            <w:b/>
          </w:rPr>
          <w:t>I</w:t>
        </w:r>
        <w:r w:rsidR="002052DC" w:rsidRPr="00194850">
          <w:rPr>
            <w:rStyle w:val="Hyperlink"/>
            <w:b/>
          </w:rPr>
          <w:t>ncrease urban residential density</w:t>
        </w:r>
      </w:hyperlink>
      <w:r w:rsidR="00486837">
        <w:t xml:space="preserve"> with </w:t>
      </w:r>
      <w:r w:rsidR="000251C9">
        <w:t xml:space="preserve">accessory dwelling units, single-resident occupancy units, </w:t>
      </w:r>
      <w:r w:rsidR="00C9633F" w:rsidRPr="00C9633F">
        <w:t xml:space="preserve">smaller lots, </w:t>
      </w:r>
      <w:r w:rsidR="00E95FDD">
        <w:t>multi-family</w:t>
      </w:r>
      <w:r w:rsidR="003C2A10">
        <w:t xml:space="preserve"> </w:t>
      </w:r>
      <w:r w:rsidR="00315039">
        <w:t xml:space="preserve">buildings </w:t>
      </w:r>
      <w:r w:rsidR="003C2A10">
        <w:t>by-right</w:t>
      </w:r>
      <w:r w:rsidR="00E95FDD">
        <w:t xml:space="preserve">, </w:t>
      </w:r>
      <w:r w:rsidR="003C2A10">
        <w:t xml:space="preserve">senior housing, </w:t>
      </w:r>
      <w:r w:rsidR="00486837">
        <w:t>co-housing, low square-</w:t>
      </w:r>
      <w:r w:rsidR="00E95FDD">
        <w:t xml:space="preserve">footage </w:t>
      </w:r>
      <w:r w:rsidR="00C9633F" w:rsidRPr="00C9633F">
        <w:t>houses</w:t>
      </w:r>
      <w:r w:rsidR="00486837">
        <w:t xml:space="preserve"> </w:t>
      </w:r>
      <w:r w:rsidR="00E95FDD">
        <w:t>/</w:t>
      </w:r>
      <w:r w:rsidR="00486837">
        <w:t xml:space="preserve"> </w:t>
      </w:r>
      <w:r w:rsidR="00E95FDD">
        <w:t>apartments</w:t>
      </w:r>
      <w:r w:rsidR="00EE28D4">
        <w:t xml:space="preserve">   {</w:t>
      </w:r>
      <w:r w:rsidR="00EE28D4">
        <w:rPr>
          <w:i/>
        </w:rPr>
        <w:t>7.2</w:t>
      </w:r>
      <w:r w:rsidR="00EE28D4">
        <w:t>}</w:t>
      </w:r>
    </w:p>
    <w:p w:rsidR="00C9633F" w:rsidRDefault="007D28DE" w:rsidP="0013116B">
      <w:pPr>
        <w:pStyle w:val="ListParagraph"/>
        <w:numPr>
          <w:ilvl w:val="0"/>
          <w:numId w:val="17"/>
        </w:numPr>
        <w:spacing w:after="0" w:line="240" w:lineRule="auto"/>
        <w:ind w:left="1080"/>
      </w:pPr>
      <w:hyperlink r:id="rId15" w:history="1">
        <w:r w:rsidR="007862F8" w:rsidRPr="00194850">
          <w:rPr>
            <w:rStyle w:val="Hyperlink"/>
            <w:b/>
          </w:rPr>
          <w:t>I</w:t>
        </w:r>
        <w:r w:rsidR="002052DC" w:rsidRPr="00194850">
          <w:rPr>
            <w:rStyle w:val="Hyperlink"/>
            <w:b/>
          </w:rPr>
          <w:t>ncrease urban commercial density</w:t>
        </w:r>
      </w:hyperlink>
      <w:r w:rsidR="00486837">
        <w:t xml:space="preserve"> by adopting </w:t>
      </w:r>
      <w:r w:rsidR="002052DC">
        <w:t>floor-area ratio</w:t>
      </w:r>
      <w:r w:rsidR="0013116B">
        <w:t xml:space="preserve"> minimums/bonuses, zero </w:t>
      </w:r>
      <w:r w:rsidR="00486837">
        <w:t xml:space="preserve">lot-line setbacks </w:t>
      </w:r>
      <w:r w:rsidR="008E3286">
        <w:t xml:space="preserve"> {</w:t>
      </w:r>
      <w:r w:rsidR="008E3286">
        <w:rPr>
          <w:i/>
        </w:rPr>
        <w:t>7.3</w:t>
      </w:r>
      <w:r w:rsidR="008E3286">
        <w:t>}</w:t>
      </w:r>
    </w:p>
    <w:p w:rsidR="004E7C26" w:rsidRDefault="007D28DE" w:rsidP="0013116B">
      <w:pPr>
        <w:pStyle w:val="ListParagraph"/>
        <w:numPr>
          <w:ilvl w:val="0"/>
          <w:numId w:val="17"/>
        </w:numPr>
        <w:spacing w:after="0" w:line="240" w:lineRule="auto"/>
        <w:ind w:left="1080"/>
      </w:pPr>
      <w:hyperlink r:id="rId16" w:history="1">
        <w:r w:rsidR="007862F8" w:rsidRPr="00194850">
          <w:rPr>
            <w:rStyle w:val="Hyperlink"/>
            <w:b/>
          </w:rPr>
          <w:t>A</w:t>
        </w:r>
        <w:r w:rsidR="002052DC" w:rsidRPr="00194850">
          <w:rPr>
            <w:rStyle w:val="Hyperlink"/>
            <w:b/>
          </w:rPr>
          <w:t xml:space="preserve">dopt </w:t>
        </w:r>
        <w:r w:rsidR="000251C9" w:rsidRPr="00194850">
          <w:rPr>
            <w:rStyle w:val="Hyperlink"/>
            <w:b/>
          </w:rPr>
          <w:t>mixed-use zoning</w:t>
        </w:r>
      </w:hyperlink>
      <w:r w:rsidR="00006720">
        <w:t>/</w:t>
      </w:r>
      <w:r w:rsidR="00315039">
        <w:t xml:space="preserve">require mixed-use </w:t>
      </w:r>
      <w:r w:rsidR="00006720">
        <w:t>PUDs</w:t>
      </w:r>
      <w:r w:rsidR="000251C9">
        <w:t xml:space="preserve"> and/or a</w:t>
      </w:r>
      <w:r w:rsidR="004E7C26">
        <w:t xml:space="preserve"> form-based zoning code</w:t>
      </w:r>
      <w:r w:rsidR="000251C9">
        <w:t>/overlay district</w:t>
      </w:r>
      <w:r w:rsidR="008E3286">
        <w:t xml:space="preserve"> </w:t>
      </w:r>
      <w:r w:rsidR="0013116B">
        <w:t xml:space="preserve">  </w:t>
      </w:r>
      <w:r w:rsidR="008E3286">
        <w:t>{</w:t>
      </w:r>
      <w:r w:rsidR="008E3286">
        <w:rPr>
          <w:i/>
        </w:rPr>
        <w:t>8.0</w:t>
      </w:r>
      <w:r w:rsidR="008E3286">
        <w:t>}</w:t>
      </w:r>
    </w:p>
    <w:p w:rsidR="00006720" w:rsidRDefault="007D28DE" w:rsidP="0013116B">
      <w:pPr>
        <w:pStyle w:val="ListParagraph"/>
        <w:numPr>
          <w:ilvl w:val="0"/>
          <w:numId w:val="17"/>
        </w:numPr>
        <w:spacing w:after="0" w:line="240" w:lineRule="auto"/>
        <w:ind w:left="1080"/>
      </w:pPr>
      <w:hyperlink r:id="rId17" w:history="1">
        <w:r w:rsidR="007862F8" w:rsidRPr="00523719">
          <w:rPr>
            <w:rStyle w:val="Hyperlink"/>
            <w:b/>
          </w:rPr>
          <w:t>S</w:t>
        </w:r>
        <w:r w:rsidR="002052DC" w:rsidRPr="00523719">
          <w:rPr>
            <w:rStyle w:val="Hyperlink"/>
            <w:b/>
          </w:rPr>
          <w:t>tage city-edge development</w:t>
        </w:r>
      </w:hyperlink>
      <w:r w:rsidR="002052DC">
        <w:t xml:space="preserve"> with an adequate public f</w:t>
      </w:r>
      <w:r w:rsidR="00006720" w:rsidRPr="00006720">
        <w:t xml:space="preserve">acilities </w:t>
      </w:r>
      <w:r w:rsidR="002052DC">
        <w:t>(concurrency) ordinance</w:t>
      </w:r>
      <w:r w:rsidR="008E3286">
        <w:t xml:space="preserve">   {</w:t>
      </w:r>
      <w:r w:rsidR="008E3286">
        <w:rPr>
          <w:i/>
        </w:rPr>
        <w:t>10.2</w:t>
      </w:r>
      <w:r w:rsidR="008E3286">
        <w:t>}</w:t>
      </w:r>
    </w:p>
    <w:p w:rsidR="00006720" w:rsidRDefault="007D28DE" w:rsidP="0013116B">
      <w:pPr>
        <w:pStyle w:val="ListParagraph"/>
        <w:numPr>
          <w:ilvl w:val="0"/>
          <w:numId w:val="17"/>
        </w:numPr>
        <w:spacing w:after="0" w:line="240" w:lineRule="auto"/>
        <w:ind w:left="1080"/>
      </w:pPr>
      <w:hyperlink r:id="rId18" w:history="1">
        <w:r w:rsidR="007862F8" w:rsidRPr="008B54BB">
          <w:rPr>
            <w:rStyle w:val="Hyperlink"/>
            <w:b/>
          </w:rPr>
          <w:t>Z</w:t>
        </w:r>
        <w:r w:rsidR="002052DC" w:rsidRPr="008B54BB">
          <w:rPr>
            <w:rStyle w:val="Hyperlink"/>
            <w:b/>
          </w:rPr>
          <w:t xml:space="preserve">one for </w:t>
        </w:r>
        <w:r w:rsidR="00E95FDD" w:rsidRPr="008B54BB">
          <w:rPr>
            <w:rStyle w:val="Hyperlink"/>
            <w:b/>
          </w:rPr>
          <w:t>rur</w:t>
        </w:r>
        <w:r w:rsidR="000251C9" w:rsidRPr="008B54BB">
          <w:rPr>
            <w:rStyle w:val="Hyperlink"/>
            <w:b/>
          </w:rPr>
          <w:t>al residential</w:t>
        </w:r>
      </w:hyperlink>
      <w:r w:rsidR="000251C9">
        <w:t xml:space="preserve"> clusters</w:t>
      </w:r>
      <w:r w:rsidR="00006720">
        <w:t xml:space="preserve">; </w:t>
      </w:r>
      <w:r w:rsidR="002052DC">
        <w:t xml:space="preserve">adopt </w:t>
      </w:r>
      <w:r w:rsidR="00006720">
        <w:t xml:space="preserve">density bonuses, </w:t>
      </w:r>
      <w:r w:rsidR="00315039">
        <w:t xml:space="preserve">authorize </w:t>
      </w:r>
      <w:r w:rsidR="00006720">
        <w:t>transfer/purchase of development rights</w:t>
      </w:r>
      <w:r w:rsidR="008E3286">
        <w:t xml:space="preserve">   {</w:t>
      </w:r>
      <w:r w:rsidR="008E3286">
        <w:rPr>
          <w:i/>
        </w:rPr>
        <w:t>10.4</w:t>
      </w:r>
      <w:r w:rsidR="008E3286">
        <w:t>}</w:t>
      </w:r>
    </w:p>
    <w:p w:rsidR="004E7C26" w:rsidRPr="004C167F" w:rsidRDefault="004E7C26" w:rsidP="00BA2A28">
      <w:pPr>
        <w:spacing w:after="0" w:line="240" w:lineRule="auto"/>
        <w:jc w:val="center"/>
        <w:rPr>
          <w:b/>
        </w:rPr>
      </w:pPr>
      <w:r w:rsidRPr="004C167F">
        <w:rPr>
          <w:b/>
        </w:rPr>
        <w:t>Transportation</w:t>
      </w:r>
      <w:r w:rsidR="00E95FDD" w:rsidRPr="004C167F">
        <w:rPr>
          <w:b/>
        </w:rPr>
        <w:t xml:space="preserve"> </w:t>
      </w:r>
      <w:r w:rsidR="007862F8" w:rsidRPr="004C167F">
        <w:rPr>
          <w:b/>
        </w:rPr>
        <w:t xml:space="preserve">Policy </w:t>
      </w:r>
      <w:r w:rsidR="00E95FDD" w:rsidRPr="004C167F">
        <w:rPr>
          <w:b/>
        </w:rPr>
        <w:t>Options</w:t>
      </w:r>
    </w:p>
    <w:p w:rsidR="00AB4AEF" w:rsidRPr="005C6DF5" w:rsidRDefault="007862F8" w:rsidP="0013116B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BA2A28">
        <w:t>F</w:t>
      </w:r>
      <w:r w:rsidR="00315039">
        <w:t>or living</w:t>
      </w:r>
      <w:r w:rsidR="00AB4AEF" w:rsidRPr="00BA2A28">
        <w:t xml:space="preserve"> streets</w:t>
      </w:r>
      <w:r w:rsidR="008E3286">
        <w:rPr>
          <w:b/>
        </w:rPr>
        <w:t xml:space="preserve"> </w:t>
      </w:r>
    </w:p>
    <w:p w:rsidR="00315039" w:rsidRPr="00315039" w:rsidRDefault="007D28DE" w:rsidP="0013116B">
      <w:pPr>
        <w:pStyle w:val="ListParagraph"/>
        <w:numPr>
          <w:ilvl w:val="0"/>
          <w:numId w:val="18"/>
        </w:numPr>
        <w:spacing w:after="0" w:line="240" w:lineRule="auto"/>
        <w:ind w:left="1080"/>
      </w:pPr>
      <w:hyperlink r:id="rId19" w:history="1">
        <w:r w:rsidR="00315039" w:rsidRPr="008B54BB">
          <w:rPr>
            <w:rStyle w:val="Hyperlink"/>
            <w:b/>
          </w:rPr>
          <w:t>Adopt a complete streets policy</w:t>
        </w:r>
      </w:hyperlink>
      <w:r w:rsidR="00315039">
        <w:t xml:space="preserve"> that </w:t>
      </w:r>
      <w:r w:rsidR="00700F5F">
        <w:t xml:space="preserve">includes </w:t>
      </w:r>
      <w:r w:rsidR="00700F5F" w:rsidRPr="00700F5F">
        <w:t>street design standards</w:t>
      </w:r>
      <w:r w:rsidR="00486837">
        <w:t xml:space="preserve"> &amp; maximizes urban tree </w:t>
      </w:r>
      <w:r w:rsidR="008E3286">
        <w:t>canopy {</w:t>
      </w:r>
      <w:r w:rsidR="008E3286">
        <w:rPr>
          <w:i/>
        </w:rPr>
        <w:t>11.1</w:t>
      </w:r>
      <w:r w:rsidR="008E3286">
        <w:t>}</w:t>
      </w:r>
    </w:p>
    <w:p w:rsidR="005C6DF5" w:rsidRDefault="007D28DE" w:rsidP="0013116B">
      <w:pPr>
        <w:pStyle w:val="ListParagraph"/>
        <w:numPr>
          <w:ilvl w:val="0"/>
          <w:numId w:val="18"/>
        </w:numPr>
        <w:spacing w:after="0" w:line="240" w:lineRule="auto"/>
        <w:ind w:left="1080"/>
      </w:pPr>
      <w:hyperlink r:id="rId20" w:history="1">
        <w:r w:rsidR="005C6DF5" w:rsidRPr="008B54BB">
          <w:rPr>
            <w:rStyle w:val="Hyperlink"/>
            <w:b/>
          </w:rPr>
          <w:t>Expand transit</w:t>
        </w:r>
      </w:hyperlink>
      <w:r w:rsidR="005C6DF5">
        <w:t xml:space="preserve"> </w:t>
      </w:r>
      <w:r w:rsidR="00803047">
        <w:t xml:space="preserve">/ transit hub </w:t>
      </w:r>
      <w:r w:rsidR="005C6DF5">
        <w:t>coverage and use</w:t>
      </w:r>
      <w:r w:rsidR="00700F5F">
        <w:t xml:space="preserve"> </w:t>
      </w:r>
      <w:r w:rsidR="00700F5F" w:rsidRPr="00700F5F">
        <w:t xml:space="preserve">over time to meet increasing </w:t>
      </w:r>
      <w:r w:rsidR="00486837">
        <w:t>mode-</w:t>
      </w:r>
      <w:r w:rsidR="00700F5F" w:rsidRPr="00700F5F">
        <w:t>shift targets</w:t>
      </w:r>
      <w:r w:rsidR="008E3286">
        <w:t xml:space="preserve">   {</w:t>
      </w:r>
      <w:r w:rsidR="008E3286">
        <w:rPr>
          <w:i/>
        </w:rPr>
        <w:t>12.6</w:t>
      </w:r>
      <w:r w:rsidR="008E3286">
        <w:t>}</w:t>
      </w:r>
    </w:p>
    <w:p w:rsidR="005C6DF5" w:rsidRPr="005C6DF5" w:rsidRDefault="007D28DE" w:rsidP="0013116B">
      <w:pPr>
        <w:pStyle w:val="ListParagraph"/>
        <w:numPr>
          <w:ilvl w:val="0"/>
          <w:numId w:val="18"/>
        </w:numPr>
        <w:ind w:left="1080"/>
      </w:pPr>
      <w:hyperlink r:id="rId21" w:history="1">
        <w:r w:rsidR="005C6DF5" w:rsidRPr="008B54BB">
          <w:rPr>
            <w:rStyle w:val="Hyperlink"/>
            <w:b/>
          </w:rPr>
          <w:t>Improve bike/walk</w:t>
        </w:r>
      </w:hyperlink>
      <w:r w:rsidR="005C6DF5" w:rsidRPr="005C6DF5">
        <w:t xml:space="preserve"> infrastructure</w:t>
      </w:r>
      <w:r w:rsidR="00700F5F">
        <w:t xml:space="preserve"> over time</w:t>
      </w:r>
      <w:r w:rsidR="00350EBD">
        <w:t>, by means such as lane reconfigurations (road diets),</w:t>
      </w:r>
      <w:r w:rsidR="00486837">
        <w:t xml:space="preserve"> to meet increasing mode-</w:t>
      </w:r>
      <w:r w:rsidR="00700F5F">
        <w:t>shift targets</w:t>
      </w:r>
      <w:r w:rsidR="008E3286">
        <w:t xml:space="preserve">   {1</w:t>
      </w:r>
      <w:r w:rsidR="008E3286">
        <w:rPr>
          <w:i/>
        </w:rPr>
        <w:t>2.1</w:t>
      </w:r>
      <w:r w:rsidR="008E3286">
        <w:t>} and {</w:t>
      </w:r>
      <w:r w:rsidR="008E3286">
        <w:rPr>
          <w:i/>
        </w:rPr>
        <w:t>11.6</w:t>
      </w:r>
      <w:r w:rsidR="008E3286">
        <w:t>}</w:t>
      </w:r>
    </w:p>
    <w:p w:rsidR="00BA2A28" w:rsidRPr="00C9633F" w:rsidRDefault="00BA2A28" w:rsidP="008E3286">
      <w:pPr>
        <w:pStyle w:val="ListParagraph"/>
        <w:spacing w:after="0" w:line="240" w:lineRule="auto"/>
        <w:ind w:left="1440"/>
        <w:rPr>
          <w:b/>
        </w:rPr>
      </w:pPr>
    </w:p>
    <w:p w:rsidR="00C9633F" w:rsidRDefault="00C947AC" w:rsidP="0013116B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F</w:t>
      </w:r>
      <w:r w:rsidR="00C9633F" w:rsidRPr="00BA2A28">
        <w:t>or downtown, commercial nodes, corridors</w:t>
      </w:r>
      <w:r w:rsidR="00C9633F">
        <w:rPr>
          <w:b/>
        </w:rPr>
        <w:t xml:space="preserve">   </w:t>
      </w:r>
    </w:p>
    <w:p w:rsidR="00486837" w:rsidRDefault="007D28DE" w:rsidP="0013116B">
      <w:pPr>
        <w:pStyle w:val="ListParagraph"/>
        <w:numPr>
          <w:ilvl w:val="0"/>
          <w:numId w:val="19"/>
        </w:numPr>
        <w:spacing w:after="0" w:line="240" w:lineRule="auto"/>
        <w:ind w:left="1080"/>
      </w:pPr>
      <w:hyperlink r:id="rId22" w:history="1">
        <w:r w:rsidR="00486837" w:rsidRPr="006F339A">
          <w:rPr>
            <w:rStyle w:val="Hyperlink"/>
            <w:b/>
          </w:rPr>
          <w:t>Reduce or eliminate parking minimums</w:t>
        </w:r>
      </w:hyperlink>
      <w:r w:rsidR="00486837">
        <w:t xml:space="preserve"> and/or add parking maximums   {</w:t>
      </w:r>
      <w:r w:rsidR="00486837">
        <w:rPr>
          <w:i/>
        </w:rPr>
        <w:t>14.1</w:t>
      </w:r>
      <w:r w:rsidR="00486837">
        <w:t>}</w:t>
      </w:r>
    </w:p>
    <w:p w:rsidR="00DA3E34" w:rsidRDefault="007D28DE" w:rsidP="0013116B">
      <w:pPr>
        <w:pStyle w:val="ListParagraph"/>
        <w:numPr>
          <w:ilvl w:val="0"/>
          <w:numId w:val="19"/>
        </w:numPr>
        <w:spacing w:after="0" w:line="240" w:lineRule="auto"/>
        <w:ind w:left="1080"/>
      </w:pPr>
      <w:hyperlink r:id="rId23" w:history="1">
        <w:r w:rsidR="00BA2A28" w:rsidRPr="008B54BB">
          <w:rPr>
            <w:rStyle w:val="Hyperlink"/>
            <w:b/>
          </w:rPr>
          <w:t>P</w:t>
        </w:r>
        <w:r w:rsidR="00902A4C" w:rsidRPr="008B54BB">
          <w:rPr>
            <w:rStyle w:val="Hyperlink"/>
            <w:b/>
          </w:rPr>
          <w:t xml:space="preserve">rice </w:t>
        </w:r>
        <w:r w:rsidR="00AB4AEF" w:rsidRPr="008B54BB">
          <w:rPr>
            <w:rStyle w:val="Hyperlink"/>
            <w:b/>
          </w:rPr>
          <w:t xml:space="preserve">curb </w:t>
        </w:r>
        <w:r w:rsidR="008D4CAF">
          <w:rPr>
            <w:rStyle w:val="Hyperlink"/>
            <w:b/>
          </w:rPr>
          <w:t xml:space="preserve">&amp; structured </w:t>
        </w:r>
        <w:r w:rsidR="00902A4C" w:rsidRPr="008B54BB">
          <w:rPr>
            <w:rStyle w:val="Hyperlink"/>
            <w:b/>
          </w:rPr>
          <w:t>parking</w:t>
        </w:r>
      </w:hyperlink>
      <w:r w:rsidR="00700F5F">
        <w:t xml:space="preserve"> to aim for a 15% vacancy rate in parking spaces on each block</w:t>
      </w:r>
      <w:r w:rsidR="00B53CE3">
        <w:t>, and favor electric vehicles</w:t>
      </w:r>
      <w:r w:rsidR="008D4CAF">
        <w:t xml:space="preserve"> and for pay-per use vs. monthly contracts </w:t>
      </w:r>
      <w:r w:rsidR="00B53CE3">
        <w:t>in</w:t>
      </w:r>
      <w:r w:rsidR="008D4CAF">
        <w:t xml:space="preserve"> lots, ramps</w:t>
      </w:r>
      <w:r w:rsidR="00CA7E6C">
        <w:t xml:space="preserve">   {</w:t>
      </w:r>
      <w:r w:rsidR="00CA7E6C">
        <w:rPr>
          <w:i/>
        </w:rPr>
        <w:t>14.1</w:t>
      </w:r>
      <w:r w:rsidR="00CA7E6C">
        <w:t>}</w:t>
      </w:r>
    </w:p>
    <w:p w:rsidR="00902A4C" w:rsidRPr="001E4B75" w:rsidRDefault="007D28DE" w:rsidP="0013116B">
      <w:pPr>
        <w:pStyle w:val="ListParagraph"/>
        <w:numPr>
          <w:ilvl w:val="0"/>
          <w:numId w:val="19"/>
        </w:numPr>
        <w:spacing w:after="0" w:line="240" w:lineRule="auto"/>
        <w:ind w:left="1080"/>
      </w:pPr>
      <w:hyperlink r:id="rId24" w:history="1">
        <w:r w:rsidR="00DA3E34" w:rsidRPr="00331CDD">
          <w:rPr>
            <w:rStyle w:val="Hyperlink"/>
            <w:b/>
          </w:rPr>
          <w:t xml:space="preserve">Allocate </w:t>
        </w:r>
        <w:r w:rsidR="00486837">
          <w:rPr>
            <w:rStyle w:val="Hyperlink"/>
            <w:b/>
          </w:rPr>
          <w:t xml:space="preserve">boulevard &amp; </w:t>
        </w:r>
        <w:r w:rsidR="00331CDD" w:rsidRPr="00331CDD">
          <w:rPr>
            <w:rStyle w:val="Hyperlink"/>
            <w:b/>
          </w:rPr>
          <w:t>curb space</w:t>
        </w:r>
      </w:hyperlink>
      <w:r w:rsidR="00DA3E34">
        <w:t xml:space="preserve"> </w:t>
      </w:r>
      <w:r w:rsidR="00331CDD">
        <w:t>for bik</w:t>
      </w:r>
      <w:r w:rsidR="00486837">
        <w:t xml:space="preserve">e parking and vehicle passenger pick-up/drop-off as </w:t>
      </w:r>
      <w:r w:rsidR="001E4B75">
        <w:t xml:space="preserve">part of planning </w:t>
      </w:r>
      <w:r w:rsidR="001E4B75" w:rsidRPr="001E4B75">
        <w:t xml:space="preserve">for </w:t>
      </w:r>
      <w:r w:rsidR="00350EBD">
        <w:t>shared mobility services</w:t>
      </w:r>
      <w:r w:rsidR="00331CDD">
        <w:t xml:space="preserve"> (bus, taxi, Uber, Lyft)</w:t>
      </w:r>
      <w:r w:rsidR="00350EBD">
        <w:t xml:space="preserve">  and </w:t>
      </w:r>
      <w:r w:rsidR="001E4B75">
        <w:t xml:space="preserve">(shared) </w:t>
      </w:r>
      <w:r w:rsidR="001E4B75" w:rsidRPr="001E4B75">
        <w:t>autonomous vehicles</w:t>
      </w:r>
      <w:r w:rsidR="00CA7E6C">
        <w:t xml:space="preserve">   {</w:t>
      </w:r>
      <w:r w:rsidR="00CA7E6C">
        <w:rPr>
          <w:i/>
        </w:rPr>
        <w:t>6.0</w:t>
      </w:r>
      <w:r w:rsidR="00CA7E6C">
        <w:t>}</w:t>
      </w:r>
    </w:p>
    <w:p w:rsidR="004E7C26" w:rsidRDefault="007D28DE" w:rsidP="0013116B">
      <w:pPr>
        <w:pStyle w:val="ListParagraph"/>
        <w:numPr>
          <w:ilvl w:val="0"/>
          <w:numId w:val="19"/>
        </w:numPr>
        <w:spacing w:after="0" w:line="240" w:lineRule="auto"/>
        <w:ind w:left="1080"/>
      </w:pPr>
      <w:hyperlink r:id="rId25" w:history="1">
        <w:r w:rsidR="00BA2A28" w:rsidRPr="006F339A">
          <w:rPr>
            <w:rStyle w:val="Hyperlink"/>
            <w:b/>
          </w:rPr>
          <w:t>A</w:t>
        </w:r>
        <w:r w:rsidR="00AB4AEF" w:rsidRPr="006F339A">
          <w:rPr>
            <w:rStyle w:val="Hyperlink"/>
            <w:b/>
          </w:rPr>
          <w:t>dopt a travel demand management</w:t>
        </w:r>
        <w:r w:rsidR="00C947AC" w:rsidRPr="006F339A">
          <w:rPr>
            <w:rStyle w:val="Hyperlink"/>
            <w:b/>
          </w:rPr>
          <w:t xml:space="preserve"> /</w:t>
        </w:r>
        <w:r w:rsidR="00AB4AEF" w:rsidRPr="006F339A">
          <w:rPr>
            <w:rStyle w:val="Hyperlink"/>
            <w:b/>
          </w:rPr>
          <w:t xml:space="preserve"> transit-oriented development</w:t>
        </w:r>
      </w:hyperlink>
      <w:r w:rsidR="00AB4AEF" w:rsidRPr="00AB4AEF">
        <w:t xml:space="preserve"> </w:t>
      </w:r>
      <w:r w:rsidR="00AB4AEF">
        <w:t>ordinance</w:t>
      </w:r>
      <w:r w:rsidR="00CA7E6C">
        <w:t xml:space="preserve">   {</w:t>
      </w:r>
      <w:r w:rsidR="00CA7E6C">
        <w:rPr>
          <w:i/>
        </w:rPr>
        <w:t>14.4</w:t>
      </w:r>
      <w:r w:rsidR="00CA7E6C">
        <w:t>}</w:t>
      </w:r>
    </w:p>
    <w:p w:rsidR="00425B1A" w:rsidRPr="00CD5BBF" w:rsidRDefault="007D28DE" w:rsidP="0013116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</w:rPr>
      </w:pPr>
      <w:hyperlink r:id="rId26" w:history="1">
        <w:r w:rsidR="00425B1A" w:rsidRPr="006F339A">
          <w:rPr>
            <w:rStyle w:val="Hyperlink"/>
            <w:b/>
          </w:rPr>
          <w:t>Require electric vehicle charging</w:t>
        </w:r>
      </w:hyperlink>
      <w:r w:rsidR="006F339A">
        <w:t xml:space="preserve"> capacity</w:t>
      </w:r>
      <w:r w:rsidR="00425B1A">
        <w:t xml:space="preserve"> </w:t>
      </w:r>
      <w:r w:rsidR="00574C47">
        <w:t xml:space="preserve">(at least conduit) </w:t>
      </w:r>
      <w:r w:rsidR="00425B1A">
        <w:t xml:space="preserve">in new </w:t>
      </w:r>
      <w:r w:rsidR="002918B5">
        <w:t>commercial/</w:t>
      </w:r>
      <w:r w:rsidR="00803047">
        <w:t xml:space="preserve">single, </w:t>
      </w:r>
      <w:r w:rsidR="00425B1A">
        <w:t>multi-family developments</w:t>
      </w:r>
      <w:r w:rsidR="00700F5F">
        <w:t xml:space="preserve"> and require the installation of charging stations to mirror the regional electric vehicle adoption rate</w:t>
      </w:r>
      <w:r w:rsidR="00CA7E6C">
        <w:t xml:space="preserve">   {</w:t>
      </w:r>
      <w:r w:rsidR="00CA7E6C">
        <w:rPr>
          <w:i/>
        </w:rPr>
        <w:t>3.4</w:t>
      </w:r>
      <w:r w:rsidR="00CA7E6C">
        <w:t>}</w:t>
      </w:r>
    </w:p>
    <w:p w:rsidR="00EA7F41" w:rsidRDefault="007D28DE" w:rsidP="0013116B">
      <w:pPr>
        <w:pStyle w:val="ListParagraph"/>
        <w:numPr>
          <w:ilvl w:val="0"/>
          <w:numId w:val="19"/>
        </w:numPr>
        <w:spacing w:after="0" w:line="240" w:lineRule="auto"/>
        <w:ind w:left="1080"/>
      </w:pPr>
      <w:hyperlink r:id="rId27" w:history="1">
        <w:r w:rsidR="00C947AC" w:rsidRPr="006F339A">
          <w:rPr>
            <w:rStyle w:val="Hyperlink"/>
            <w:b/>
          </w:rPr>
          <w:t>Prioritize</w:t>
        </w:r>
        <w:r w:rsidR="001D53DE" w:rsidRPr="006F339A">
          <w:rPr>
            <w:rStyle w:val="Hyperlink"/>
            <w:b/>
          </w:rPr>
          <w:t xml:space="preserve"> fiber</w:t>
        </w:r>
      </w:hyperlink>
      <w:r w:rsidR="001D53DE">
        <w:t xml:space="preserve"> telecommunications infrastructure</w:t>
      </w:r>
      <w:r w:rsidR="00CA7E6C">
        <w:t xml:space="preserve">   {</w:t>
      </w:r>
      <w:r w:rsidR="00CA7E6C">
        <w:rPr>
          <w:i/>
        </w:rPr>
        <w:t>12.5</w:t>
      </w:r>
      <w:r w:rsidR="00CA7E6C">
        <w:t>}</w:t>
      </w:r>
    </w:p>
    <w:p w:rsidR="00542571" w:rsidRDefault="00542571" w:rsidP="00542571">
      <w:pPr>
        <w:spacing w:after="0" w:line="240" w:lineRule="auto"/>
        <w:jc w:val="center"/>
        <w:rPr>
          <w:b/>
        </w:rPr>
      </w:pPr>
    </w:p>
    <w:p w:rsidR="00542571" w:rsidRPr="004C167F" w:rsidRDefault="00542571" w:rsidP="00542571">
      <w:pPr>
        <w:spacing w:after="0" w:line="240" w:lineRule="auto"/>
        <w:jc w:val="center"/>
        <w:rPr>
          <w:b/>
        </w:rPr>
      </w:pPr>
      <w:r w:rsidRPr="004C167F">
        <w:rPr>
          <w:b/>
        </w:rPr>
        <w:t>Carbon Sequestration and Waste Reduction Policy Options</w:t>
      </w:r>
    </w:p>
    <w:p w:rsidR="00542571" w:rsidRPr="002918B5" w:rsidRDefault="00542571" w:rsidP="00542571">
      <w:pPr>
        <w:spacing w:after="0" w:line="240" w:lineRule="auto"/>
        <w:jc w:val="center"/>
      </w:pPr>
    </w:p>
    <w:p w:rsidR="00542571" w:rsidRPr="00A434AE" w:rsidRDefault="007D28DE" w:rsidP="00542571">
      <w:pPr>
        <w:pStyle w:val="ListParagraph"/>
        <w:numPr>
          <w:ilvl w:val="1"/>
          <w:numId w:val="1"/>
        </w:numPr>
        <w:ind w:left="1080"/>
        <w:rPr>
          <w:b/>
        </w:rPr>
      </w:pPr>
      <w:hyperlink r:id="rId28" w:history="1">
        <w:r w:rsidR="00542571" w:rsidRPr="00C12335">
          <w:rPr>
            <w:rStyle w:val="Hyperlink"/>
            <w:b/>
          </w:rPr>
          <w:t>Adopt urban tree canopy</w:t>
        </w:r>
      </w:hyperlink>
      <w:r w:rsidR="00542571" w:rsidRPr="00A434AE">
        <w:rPr>
          <w:b/>
        </w:rPr>
        <w:t xml:space="preserve"> </w:t>
      </w:r>
      <w:r w:rsidR="00542571" w:rsidRPr="00A434AE">
        <w:t xml:space="preserve">coverage </w:t>
      </w:r>
      <w:r w:rsidR="00542571">
        <w:t xml:space="preserve">and diversity </w:t>
      </w:r>
      <w:r w:rsidR="00542571" w:rsidRPr="00A434AE">
        <w:t>goals that increase over time</w:t>
      </w:r>
      <w:r w:rsidR="00542571">
        <w:t xml:space="preserve">   {</w:t>
      </w:r>
      <w:r w:rsidR="00542571">
        <w:rPr>
          <w:i/>
        </w:rPr>
        <w:t>16.3</w:t>
      </w:r>
      <w:r w:rsidR="00542571">
        <w:t xml:space="preserve">}  </w:t>
      </w:r>
      <w:r w:rsidR="00542571" w:rsidRPr="00A434AE">
        <w:rPr>
          <w:b/>
        </w:rPr>
        <w:t xml:space="preserve"> </w:t>
      </w:r>
    </w:p>
    <w:p w:rsidR="00542571" w:rsidRPr="00A434AE" w:rsidRDefault="007D28DE" w:rsidP="00542571">
      <w:pPr>
        <w:pStyle w:val="ListParagraph"/>
        <w:numPr>
          <w:ilvl w:val="1"/>
          <w:numId w:val="1"/>
        </w:numPr>
        <w:spacing w:after="0" w:line="240" w:lineRule="auto"/>
        <w:ind w:left="1080"/>
      </w:pPr>
      <w:hyperlink r:id="rId29" w:history="1">
        <w:r w:rsidR="00542571" w:rsidRPr="00C12335">
          <w:rPr>
            <w:rStyle w:val="Hyperlink"/>
            <w:b/>
          </w:rPr>
          <w:t>Implement organics collection</w:t>
        </w:r>
      </w:hyperlink>
      <w:r w:rsidR="00542571">
        <w:t xml:space="preserve"> (residential food and yard waste) and associated composting   {</w:t>
      </w:r>
      <w:r w:rsidR="00542571">
        <w:rPr>
          <w:i/>
        </w:rPr>
        <w:t>22.5</w:t>
      </w:r>
      <w:r w:rsidR="00542571">
        <w:t xml:space="preserve">}  </w:t>
      </w:r>
    </w:p>
    <w:p w:rsidR="00542571" w:rsidRDefault="007D28DE" w:rsidP="00542571">
      <w:pPr>
        <w:pStyle w:val="ListParagraph"/>
        <w:numPr>
          <w:ilvl w:val="1"/>
          <w:numId w:val="1"/>
        </w:numPr>
        <w:spacing w:after="0" w:line="240" w:lineRule="auto"/>
        <w:ind w:left="1080"/>
      </w:pPr>
      <w:hyperlink r:id="rId30" w:history="1">
        <w:r w:rsidR="00542571">
          <w:rPr>
            <w:rStyle w:val="Hyperlink"/>
            <w:b/>
          </w:rPr>
          <w:t>Provide</w:t>
        </w:r>
        <w:r w:rsidR="00542571" w:rsidRPr="00C12335">
          <w:rPr>
            <w:rStyle w:val="Hyperlink"/>
            <w:b/>
          </w:rPr>
          <w:t xml:space="preserve"> food waste prevention </w:t>
        </w:r>
        <w:r w:rsidR="00542571">
          <w:rPr>
            <w:rStyle w:val="Hyperlink"/>
            <w:b/>
          </w:rPr>
          <w:t xml:space="preserve">assistance </w:t>
        </w:r>
        <w:r w:rsidR="00542571" w:rsidRPr="00C12335">
          <w:rPr>
            <w:rStyle w:val="Hyperlink"/>
            <w:b/>
          </w:rPr>
          <w:t>and</w:t>
        </w:r>
      </w:hyperlink>
      <w:r w:rsidR="00542571">
        <w:t xml:space="preserve"> food waste management assistance to help restaurants, to help food stores rescue food for food shelves, to help make food-to-hogs arraignments, and to increase food waste composting   {25.2}  </w:t>
      </w:r>
    </w:p>
    <w:p w:rsidR="00542571" w:rsidRPr="002918B5" w:rsidRDefault="007D28DE" w:rsidP="00542571">
      <w:pPr>
        <w:pStyle w:val="ListParagraph"/>
        <w:numPr>
          <w:ilvl w:val="1"/>
          <w:numId w:val="1"/>
        </w:numPr>
        <w:ind w:left="1080"/>
      </w:pPr>
      <w:hyperlink r:id="rId31" w:history="1">
        <w:r w:rsidR="00542571" w:rsidRPr="00C12335">
          <w:rPr>
            <w:rStyle w:val="Hyperlink"/>
            <w:b/>
          </w:rPr>
          <w:t>Increase materials reuse</w:t>
        </w:r>
      </w:hyperlink>
      <w:r w:rsidR="00542571">
        <w:rPr>
          <w:b/>
        </w:rPr>
        <w:t xml:space="preserve"> </w:t>
      </w:r>
      <w:r w:rsidR="00542571">
        <w:t>with dedicated city staff time and funding to support second-hand</w:t>
      </w:r>
      <w:r w:rsidR="00542571" w:rsidRPr="002918B5">
        <w:t xml:space="preserve">/repair stores, Fix-it Clinics, </w:t>
      </w:r>
      <w:r w:rsidR="00542571">
        <w:t>organized garage sales, organized scavenging before large-item trash</w:t>
      </w:r>
      <w:r w:rsidR="00542571" w:rsidRPr="002918B5">
        <w:t xml:space="preserve"> collection, Community Ed</w:t>
      </w:r>
      <w:r w:rsidR="00542571">
        <w:t>ucation classes   {</w:t>
      </w:r>
      <w:r w:rsidR="00542571">
        <w:rPr>
          <w:i/>
        </w:rPr>
        <w:t>22.4</w:t>
      </w:r>
      <w:r w:rsidR="00542571">
        <w:t xml:space="preserve">}    </w:t>
      </w:r>
    </w:p>
    <w:p w:rsidR="00542571" w:rsidRDefault="007D28DE" w:rsidP="00542571">
      <w:pPr>
        <w:pStyle w:val="ListParagraph"/>
        <w:numPr>
          <w:ilvl w:val="1"/>
          <w:numId w:val="1"/>
        </w:numPr>
        <w:spacing w:after="0" w:line="240" w:lineRule="auto"/>
        <w:ind w:left="1080"/>
      </w:pPr>
      <w:hyperlink r:id="rId32" w:history="1">
        <w:r w:rsidR="00542571" w:rsidRPr="00FD1034">
          <w:rPr>
            <w:rStyle w:val="Hyperlink"/>
            <w:b/>
          </w:rPr>
          <w:t>Adopt a construction and demolition waste ordinance</w:t>
        </w:r>
      </w:hyperlink>
      <w:r w:rsidR="00542571">
        <w:t xml:space="preserve"> </w:t>
      </w:r>
      <w:r w:rsidR="00542571" w:rsidRPr="00A434AE">
        <w:t>that requires a level of recycling and reuse for building material</w:t>
      </w:r>
      <w:r w:rsidR="00542571">
        <w:t>s   {</w:t>
      </w:r>
      <w:r w:rsidR="00542571">
        <w:rPr>
          <w:i/>
        </w:rPr>
        <w:t>22.8</w:t>
      </w:r>
      <w:r w:rsidR="00542571">
        <w:t xml:space="preserve">}  </w:t>
      </w:r>
    </w:p>
    <w:p w:rsidR="00C947AC" w:rsidRDefault="00C947AC" w:rsidP="00EA7F41">
      <w:pPr>
        <w:spacing w:after="0" w:line="240" w:lineRule="auto"/>
      </w:pPr>
    </w:p>
    <w:p w:rsidR="001D53DE" w:rsidRPr="004C167F" w:rsidRDefault="001D53DE" w:rsidP="00C947AC">
      <w:pPr>
        <w:spacing w:after="0" w:line="240" w:lineRule="auto"/>
        <w:jc w:val="center"/>
        <w:rPr>
          <w:b/>
        </w:rPr>
      </w:pPr>
      <w:r w:rsidRPr="004C167F">
        <w:rPr>
          <w:b/>
        </w:rPr>
        <w:t xml:space="preserve">Energy Supply </w:t>
      </w:r>
      <w:r w:rsidR="00DA3E34" w:rsidRPr="004C167F">
        <w:rPr>
          <w:b/>
        </w:rPr>
        <w:t xml:space="preserve">Policy </w:t>
      </w:r>
      <w:r w:rsidRPr="004C167F">
        <w:rPr>
          <w:b/>
        </w:rPr>
        <w:t>Options</w:t>
      </w:r>
    </w:p>
    <w:p w:rsidR="007E5BA8" w:rsidRPr="00C947AC" w:rsidRDefault="00DA3E34" w:rsidP="0013116B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For city operations</w:t>
      </w:r>
      <w:r w:rsidR="00CA7E6C">
        <w:t xml:space="preserve">  </w:t>
      </w:r>
    </w:p>
    <w:p w:rsidR="00CC6E56" w:rsidRPr="00BF0A6A" w:rsidRDefault="007D28DE" w:rsidP="0013116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</w:rPr>
      </w:pPr>
      <w:hyperlink r:id="rId33" w:history="1">
        <w:r w:rsidR="00CC6E56" w:rsidRPr="00CA7E6C">
          <w:rPr>
            <w:rStyle w:val="Hyperlink"/>
            <w:b/>
          </w:rPr>
          <w:t>I</w:t>
        </w:r>
        <w:r w:rsidR="00DA3E34" w:rsidRPr="00CA7E6C">
          <w:rPr>
            <w:rStyle w:val="Hyperlink"/>
            <w:b/>
          </w:rPr>
          <w:t>ncrease renewable energy</w:t>
        </w:r>
      </w:hyperlink>
      <w:r w:rsidR="00DA3E34">
        <w:rPr>
          <w:b/>
        </w:rPr>
        <w:t xml:space="preserve"> </w:t>
      </w:r>
      <w:r w:rsidR="00CD5BBF">
        <w:t>purchases/installed generation capacity</w:t>
      </w:r>
      <w:r w:rsidR="00BE0169">
        <w:t xml:space="preserve"> </w:t>
      </w:r>
      <w:r w:rsidR="00BE0169" w:rsidRPr="00BE0169">
        <w:t>over time to meet a net-zero greenhouse gas goal</w:t>
      </w:r>
      <w:r w:rsidR="00574C47">
        <w:t>; purchases via</w:t>
      </w:r>
      <w:r w:rsidR="00BE0169">
        <w:t xml:space="preserve"> community solar garden</w:t>
      </w:r>
      <w:r w:rsidR="00574C47">
        <w:t>s</w:t>
      </w:r>
      <w:r w:rsidR="00BE0169">
        <w:t xml:space="preserve">, renewable energy credits or other means; generation via </w:t>
      </w:r>
      <w:r w:rsidR="00574C47">
        <w:t>solar panels and</w:t>
      </w:r>
      <w:r w:rsidR="00102559">
        <w:t xml:space="preserve"> </w:t>
      </w:r>
      <w:r w:rsidR="00BE0169">
        <w:t>anaerobic digestion</w:t>
      </w:r>
      <w:r w:rsidR="00574C47">
        <w:t xml:space="preserve">, </w:t>
      </w:r>
      <w:r w:rsidR="00102559">
        <w:t xml:space="preserve">on city buildings and </w:t>
      </w:r>
      <w:r w:rsidR="00574C47">
        <w:t xml:space="preserve">at </w:t>
      </w:r>
      <w:r w:rsidR="00BE0169">
        <w:t>waste-water treatment plant</w:t>
      </w:r>
      <w:r w:rsidR="00574C47">
        <w:t>s</w:t>
      </w:r>
      <w:r w:rsidR="00CA7E6C">
        <w:t xml:space="preserve">    {</w:t>
      </w:r>
      <w:r w:rsidR="00CA7E6C">
        <w:rPr>
          <w:i/>
        </w:rPr>
        <w:t>15.2</w:t>
      </w:r>
      <w:r w:rsidR="00CA7E6C">
        <w:t>} and {</w:t>
      </w:r>
      <w:r w:rsidR="00CA7E6C">
        <w:rPr>
          <w:i/>
        </w:rPr>
        <w:t>26.5</w:t>
      </w:r>
      <w:r w:rsidR="00CA7E6C">
        <w:t xml:space="preserve">}  </w:t>
      </w:r>
    </w:p>
    <w:p w:rsidR="00BF0A6A" w:rsidRPr="0013116B" w:rsidRDefault="007D28DE" w:rsidP="0013116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Style w:val="Hyperlink"/>
        </w:rPr>
      </w:pPr>
      <w:hyperlink r:id="rId34" w:history="1">
        <w:r w:rsidR="00BF0A6A" w:rsidRPr="00BF0A6A">
          <w:rPr>
            <w:rStyle w:val="Hyperlink"/>
            <w:b/>
          </w:rPr>
          <w:t>Adopt a sustainable purchasing policy</w:t>
        </w:r>
      </w:hyperlink>
      <w:r w:rsidR="00BF0A6A">
        <w:rPr>
          <w:b/>
        </w:rPr>
        <w:t xml:space="preserve"> </w:t>
      </w:r>
      <w:r w:rsidR="00BF0A6A">
        <w:t>that prioritizes energy-efficient, low-impact products and services</w:t>
      </w:r>
      <w:r w:rsidR="00FA12E2">
        <w:t xml:space="preserve">, </w:t>
      </w:r>
      <w:r w:rsidR="00FA12E2" w:rsidRPr="00F23E59">
        <w:rPr>
          <w:rStyle w:val="Hyperlink"/>
          <w:color w:val="auto"/>
          <w:u w:val="none"/>
        </w:rPr>
        <w:t>such as electric vehicles,</w:t>
      </w:r>
      <w:r w:rsidR="00BF0A6A" w:rsidRPr="00F23E59">
        <w:rPr>
          <w:rStyle w:val="Hyperlink"/>
          <w:color w:val="auto"/>
          <w:u w:val="none"/>
        </w:rPr>
        <w:t xml:space="preserve"> for city operations   {15.1}</w:t>
      </w:r>
      <w:r w:rsidR="00FA12E2" w:rsidRPr="00F23E59">
        <w:rPr>
          <w:rStyle w:val="Hyperlink"/>
          <w:color w:val="auto"/>
          <w:u w:val="none"/>
        </w:rPr>
        <w:t xml:space="preserve"> and {13.3}</w:t>
      </w:r>
    </w:p>
    <w:p w:rsidR="00DA3E34" w:rsidRDefault="00DA3E34" w:rsidP="002918B5">
      <w:pPr>
        <w:pStyle w:val="ListParagraph"/>
        <w:spacing w:after="0" w:line="240" w:lineRule="auto"/>
        <w:ind w:left="1440"/>
        <w:rPr>
          <w:b/>
        </w:rPr>
      </w:pPr>
    </w:p>
    <w:p w:rsidR="00DA3E34" w:rsidRPr="00DA3E34" w:rsidRDefault="00DA3E34" w:rsidP="0013116B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DA3E34">
        <w:t xml:space="preserve">For </w:t>
      </w:r>
      <w:r>
        <w:t xml:space="preserve">community-wide </w:t>
      </w:r>
    </w:p>
    <w:p w:rsidR="00BE0169" w:rsidRPr="00BE6AA7" w:rsidRDefault="007D28DE" w:rsidP="00F23E59">
      <w:pPr>
        <w:numPr>
          <w:ilvl w:val="1"/>
          <w:numId w:val="1"/>
        </w:numPr>
        <w:spacing w:after="0" w:line="240" w:lineRule="auto"/>
        <w:ind w:left="1080"/>
        <w:contextualSpacing/>
        <w:rPr>
          <w:b/>
        </w:rPr>
      </w:pPr>
      <w:hyperlink r:id="rId35" w:history="1">
        <w:r w:rsidR="00BE0169" w:rsidRPr="00B041A0">
          <w:rPr>
            <w:rStyle w:val="Hyperlink"/>
            <w:b/>
          </w:rPr>
          <w:t>Adopt wind energy and/or biomass ordinances</w:t>
        </w:r>
      </w:hyperlink>
      <w:r w:rsidR="00BE0169" w:rsidRPr="00D07C28">
        <w:rPr>
          <w:b/>
        </w:rPr>
        <w:t xml:space="preserve"> </w:t>
      </w:r>
      <w:r w:rsidR="00574C47">
        <w:t>that allow, enable</w:t>
      </w:r>
      <w:r w:rsidR="00BE0169" w:rsidRPr="00D07C28">
        <w:t xml:space="preserve"> or encourage appropriate</w:t>
      </w:r>
      <w:r w:rsidR="00BE0169" w:rsidRPr="00D07C28">
        <w:rPr>
          <w:b/>
        </w:rPr>
        <w:t xml:space="preserve"> </w:t>
      </w:r>
      <w:r w:rsidR="00BE0169" w:rsidRPr="00D07C28">
        <w:t>renewable energy installations</w:t>
      </w:r>
      <w:r w:rsidR="00CA7E6C">
        <w:t xml:space="preserve">   {</w:t>
      </w:r>
      <w:r w:rsidR="00CA7E6C">
        <w:rPr>
          <w:i/>
        </w:rPr>
        <w:t>26.</w:t>
      </w:r>
      <w:r w:rsidR="00B041A0">
        <w:rPr>
          <w:i/>
        </w:rPr>
        <w:t>1</w:t>
      </w:r>
      <w:r w:rsidR="00CA7E6C">
        <w:t xml:space="preserve">}  </w:t>
      </w:r>
    </w:p>
    <w:p w:rsidR="00BE6AA7" w:rsidRPr="00D07C28" w:rsidRDefault="007D28DE" w:rsidP="00F23E59">
      <w:pPr>
        <w:numPr>
          <w:ilvl w:val="1"/>
          <w:numId w:val="1"/>
        </w:numPr>
        <w:spacing w:after="0" w:line="240" w:lineRule="auto"/>
        <w:ind w:left="1080"/>
        <w:contextualSpacing/>
        <w:rPr>
          <w:b/>
        </w:rPr>
      </w:pPr>
      <w:hyperlink r:id="rId36" w:history="1">
        <w:r w:rsidR="00BE6AA7" w:rsidRPr="00FE2100">
          <w:rPr>
            <w:rStyle w:val="Hyperlink"/>
            <w:b/>
          </w:rPr>
          <w:t>Certify as a solar-ready community</w:t>
        </w:r>
      </w:hyperlink>
      <w:r w:rsidR="00D07C28">
        <w:t>,</w:t>
      </w:r>
      <w:r w:rsidR="00D07C28" w:rsidRPr="00D07C28">
        <w:t xml:space="preserve"> including an expedited permit process for residents and businesses to install solar energy systems</w:t>
      </w:r>
      <w:r w:rsidR="00CA7E6C">
        <w:t xml:space="preserve">   {</w:t>
      </w:r>
      <w:r w:rsidR="00CA7E6C">
        <w:rPr>
          <w:i/>
        </w:rPr>
        <w:t>26</w:t>
      </w:r>
      <w:r w:rsidR="00FE2100">
        <w:rPr>
          <w:i/>
        </w:rPr>
        <w:t>.7</w:t>
      </w:r>
      <w:r w:rsidR="00CA7E6C">
        <w:t xml:space="preserve">}  </w:t>
      </w:r>
    </w:p>
    <w:p w:rsidR="002918B5" w:rsidRDefault="007D28DE" w:rsidP="00F23E5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</w:rPr>
      </w:pPr>
      <w:hyperlink r:id="rId37" w:history="1">
        <w:r w:rsidR="002918B5" w:rsidRPr="00FE2100">
          <w:rPr>
            <w:rStyle w:val="Hyperlink"/>
            <w:b/>
          </w:rPr>
          <w:t>Participate with utilities</w:t>
        </w:r>
      </w:hyperlink>
      <w:r w:rsidR="002918B5">
        <w:rPr>
          <w:b/>
        </w:rPr>
        <w:t xml:space="preserve"> </w:t>
      </w:r>
      <w:r w:rsidR="0012648E">
        <w:t xml:space="preserve">in their </w:t>
      </w:r>
      <w:r w:rsidR="002918B5">
        <w:t>energy-efficiency</w:t>
      </w:r>
      <w:r w:rsidR="0012648E">
        <w:t>/renewable energy</w:t>
      </w:r>
      <w:r w:rsidR="00D07C28">
        <w:t xml:space="preserve"> programs for residential customers</w:t>
      </w:r>
      <w:r w:rsidR="00CA7E6C">
        <w:t xml:space="preserve">   {</w:t>
      </w:r>
      <w:r w:rsidR="00FE2100">
        <w:rPr>
          <w:i/>
        </w:rPr>
        <w:t>2.1</w:t>
      </w:r>
      <w:r w:rsidR="00CA7E6C">
        <w:t xml:space="preserve">}  </w:t>
      </w:r>
    </w:p>
    <w:p w:rsidR="00BE6AA7" w:rsidRDefault="007D28DE" w:rsidP="00F23E5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</w:rPr>
      </w:pPr>
      <w:hyperlink r:id="rId38" w:history="1">
        <w:r w:rsidR="00BE6AA7" w:rsidRPr="00FE2100">
          <w:rPr>
            <w:rStyle w:val="Hyperlink"/>
            <w:b/>
          </w:rPr>
          <w:t>Adopt a Property-Assessed Clean Energy</w:t>
        </w:r>
      </w:hyperlink>
      <w:r w:rsidR="00BE6AA7">
        <w:rPr>
          <w:b/>
        </w:rPr>
        <w:t xml:space="preserve"> </w:t>
      </w:r>
      <w:r w:rsidR="0012648E">
        <w:t>resolution to facilitate</w:t>
      </w:r>
      <w:r w:rsidR="00BE6AA7">
        <w:t xml:space="preserve"> commerc</w:t>
      </w:r>
      <w:r w:rsidR="00574C47">
        <w:t>ial energy-</w:t>
      </w:r>
      <w:r w:rsidR="0012648E">
        <w:t>efficiency</w:t>
      </w:r>
      <w:r w:rsidR="00574C47">
        <w:t xml:space="preserve"> </w:t>
      </w:r>
      <w:r w:rsidR="0012648E">
        <w:t>/</w:t>
      </w:r>
      <w:r w:rsidR="00574C47">
        <w:t xml:space="preserve"> </w:t>
      </w:r>
      <w:r w:rsidR="0012648E">
        <w:t>renewable energy</w:t>
      </w:r>
      <w:r w:rsidR="00BE6AA7">
        <w:t xml:space="preserve"> f</w:t>
      </w:r>
      <w:r w:rsidR="00BE6AA7" w:rsidRPr="00BE6AA7">
        <w:t>inancing</w:t>
      </w:r>
      <w:r w:rsidR="00CA7E6C">
        <w:t xml:space="preserve">   {</w:t>
      </w:r>
      <w:r w:rsidR="00CA7E6C">
        <w:rPr>
          <w:i/>
        </w:rPr>
        <w:t>26.</w:t>
      </w:r>
      <w:r w:rsidR="00FE2100">
        <w:rPr>
          <w:i/>
        </w:rPr>
        <w:t>3</w:t>
      </w:r>
      <w:r w:rsidR="00CA7E6C">
        <w:t xml:space="preserve">}  </w:t>
      </w:r>
      <w:r w:rsidR="00BE6AA7" w:rsidRPr="00BE6AA7">
        <w:t xml:space="preserve"> </w:t>
      </w:r>
    </w:p>
    <w:p w:rsidR="0012648E" w:rsidRPr="0012648E" w:rsidRDefault="007D28DE" w:rsidP="00F23E59">
      <w:pPr>
        <w:pStyle w:val="ListParagraph"/>
        <w:numPr>
          <w:ilvl w:val="1"/>
          <w:numId w:val="1"/>
        </w:numPr>
        <w:spacing w:after="0" w:line="240" w:lineRule="auto"/>
        <w:ind w:left="1080"/>
      </w:pPr>
      <w:hyperlink r:id="rId39" w:history="1">
        <w:r w:rsidR="008A6FB3" w:rsidRPr="00FE2100">
          <w:rPr>
            <w:rStyle w:val="Hyperlink"/>
            <w:b/>
          </w:rPr>
          <w:t>A</w:t>
        </w:r>
        <w:r w:rsidR="00B07198" w:rsidRPr="00FE2100">
          <w:rPr>
            <w:rStyle w:val="Hyperlink"/>
            <w:b/>
          </w:rPr>
          <w:t>ssess distr</w:t>
        </w:r>
        <w:r w:rsidR="008A6FB3" w:rsidRPr="00FE2100">
          <w:rPr>
            <w:rStyle w:val="Hyperlink"/>
            <w:b/>
          </w:rPr>
          <w:t>ict energy/co-generation</w:t>
        </w:r>
      </w:hyperlink>
      <w:r w:rsidR="008A6FB3">
        <w:t xml:space="preserve"> system options on a periodic basis for feasibility</w:t>
      </w:r>
      <w:r w:rsidR="00CA7E6C">
        <w:t xml:space="preserve">   {</w:t>
      </w:r>
      <w:r w:rsidR="00CA7E6C">
        <w:rPr>
          <w:i/>
        </w:rPr>
        <w:t>26.</w:t>
      </w:r>
      <w:r w:rsidR="00FE2100">
        <w:rPr>
          <w:i/>
        </w:rPr>
        <w:t>6</w:t>
      </w:r>
      <w:r w:rsidR="00CA7E6C">
        <w:t xml:space="preserve">}  </w:t>
      </w:r>
    </w:p>
    <w:p w:rsidR="002052DC" w:rsidRDefault="007D28DE" w:rsidP="00F23E59">
      <w:pPr>
        <w:pStyle w:val="ListParagraph"/>
        <w:numPr>
          <w:ilvl w:val="1"/>
          <w:numId w:val="1"/>
        </w:numPr>
        <w:spacing w:after="0" w:line="240" w:lineRule="auto"/>
        <w:ind w:left="1080"/>
      </w:pPr>
      <w:hyperlink r:id="rId40" w:history="1">
        <w:r w:rsidR="005C6DF5" w:rsidRPr="004D0426">
          <w:rPr>
            <w:rStyle w:val="Hyperlink"/>
            <w:b/>
          </w:rPr>
          <w:t xml:space="preserve">Adopt </w:t>
        </w:r>
        <w:r w:rsidR="00BE6AA7" w:rsidRPr="004D0426">
          <w:rPr>
            <w:rStyle w:val="Hyperlink"/>
            <w:b/>
          </w:rPr>
          <w:t xml:space="preserve">(if a </w:t>
        </w:r>
        <w:r w:rsidR="005C6DF5" w:rsidRPr="004D0426">
          <w:rPr>
            <w:rStyle w:val="Hyperlink"/>
            <w:b/>
          </w:rPr>
          <w:t xml:space="preserve">municipal </w:t>
        </w:r>
        <w:r w:rsidR="00CD5BBF" w:rsidRPr="004D0426">
          <w:rPr>
            <w:rStyle w:val="Hyperlink"/>
            <w:b/>
          </w:rPr>
          <w:t>utility</w:t>
        </w:r>
        <w:r w:rsidR="00BE6AA7" w:rsidRPr="004D0426">
          <w:rPr>
            <w:rStyle w:val="Hyperlink"/>
            <w:b/>
          </w:rPr>
          <w:t>)</w:t>
        </w:r>
      </w:hyperlink>
      <w:r w:rsidR="00CD5BBF" w:rsidRPr="00751CF4">
        <w:rPr>
          <w:b/>
        </w:rPr>
        <w:t xml:space="preserve"> </w:t>
      </w:r>
      <w:r w:rsidR="00BE6AA7">
        <w:t>accelerating t</w:t>
      </w:r>
      <w:r w:rsidR="00CD5BBF">
        <w:t>argets for renewable energy generation</w:t>
      </w:r>
      <w:r w:rsidR="00751CF4">
        <w:t xml:space="preserve"> </w:t>
      </w:r>
      <w:r w:rsidR="00751CF4" w:rsidRPr="00751CF4">
        <w:t>to mee</w:t>
      </w:r>
      <w:r w:rsidR="00751CF4">
        <w:t>t a net-zero greenhouse gas goal</w:t>
      </w:r>
      <w:r w:rsidR="00CA7E6C">
        <w:t xml:space="preserve">   {</w:t>
      </w:r>
      <w:r w:rsidR="00CA7E6C">
        <w:rPr>
          <w:i/>
        </w:rPr>
        <w:t>6.5</w:t>
      </w:r>
      <w:r w:rsidR="00CA7E6C">
        <w:t xml:space="preserve">}  </w:t>
      </w:r>
    </w:p>
    <w:p w:rsidR="002F744E" w:rsidRDefault="002F744E" w:rsidP="00222414">
      <w:pPr>
        <w:spacing w:after="0" w:line="240" w:lineRule="auto"/>
        <w:ind w:left="1080"/>
      </w:pPr>
    </w:p>
    <w:p w:rsidR="00222414" w:rsidRDefault="00222414" w:rsidP="00222414">
      <w:pPr>
        <w:spacing w:after="0" w:line="240" w:lineRule="auto"/>
        <w:ind w:left="1080"/>
      </w:pPr>
      <w:r>
        <w:t>___________________</w:t>
      </w:r>
    </w:p>
    <w:p w:rsidR="00222414" w:rsidRPr="009F3ADA" w:rsidRDefault="00222414" w:rsidP="00222414">
      <w:pPr>
        <w:spacing w:after="0" w:line="240" w:lineRule="auto"/>
        <w:ind w:left="1080"/>
        <w:rPr>
          <w:sz w:val="20"/>
          <w:szCs w:val="20"/>
        </w:rPr>
      </w:pPr>
      <w:r w:rsidRPr="009F3ADA">
        <w:rPr>
          <w:sz w:val="20"/>
          <w:szCs w:val="20"/>
        </w:rPr>
        <w:t>Options selected from a review of:</w:t>
      </w:r>
    </w:p>
    <w:p w:rsidR="00062C07" w:rsidRPr="009F3ADA" w:rsidRDefault="00062C07" w:rsidP="00062C07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9F3ADA">
        <w:rPr>
          <w:i/>
          <w:sz w:val="20"/>
          <w:szCs w:val="20"/>
        </w:rPr>
        <w:lastRenderedPageBreak/>
        <w:t>Best Practice Actions</w:t>
      </w:r>
      <w:r w:rsidRPr="009F3ADA">
        <w:rPr>
          <w:sz w:val="20"/>
          <w:szCs w:val="20"/>
        </w:rPr>
        <w:t xml:space="preserve"> and </w:t>
      </w:r>
      <w:r w:rsidRPr="009F3ADA">
        <w:rPr>
          <w:i/>
          <w:sz w:val="20"/>
          <w:szCs w:val="20"/>
        </w:rPr>
        <w:t>City Action Reports</w:t>
      </w:r>
      <w:r w:rsidRPr="009F3ADA">
        <w:rPr>
          <w:sz w:val="20"/>
          <w:szCs w:val="20"/>
        </w:rPr>
        <w:t xml:space="preserve"> (MN GreenStep Cities program: 2019) at </w:t>
      </w:r>
      <w:hyperlink r:id="rId41" w:history="1">
        <w:r w:rsidR="004A1984" w:rsidRPr="009E22D6">
          <w:rPr>
            <w:rStyle w:val="Hyperlink"/>
            <w:sz w:val="20"/>
            <w:szCs w:val="20"/>
          </w:rPr>
          <w:t>https://greenstep.pca.state.mn.us</w:t>
        </w:r>
      </w:hyperlink>
      <w:r w:rsidRPr="009F3ADA">
        <w:rPr>
          <w:sz w:val="20"/>
          <w:szCs w:val="20"/>
        </w:rPr>
        <w:t xml:space="preserve"> </w:t>
      </w:r>
    </w:p>
    <w:p w:rsidR="00222414" w:rsidRPr="009F3ADA" w:rsidRDefault="000B5551" w:rsidP="000B5551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9F3ADA">
        <w:rPr>
          <w:i/>
          <w:sz w:val="20"/>
          <w:szCs w:val="20"/>
        </w:rPr>
        <w:t>Climate Solutions and Economic Opportunities</w:t>
      </w:r>
      <w:r w:rsidRPr="009F3ADA">
        <w:rPr>
          <w:sz w:val="20"/>
          <w:szCs w:val="20"/>
        </w:rPr>
        <w:t xml:space="preserve"> (MN Env</w:t>
      </w:r>
      <w:r w:rsidR="00062C07" w:rsidRPr="009F3ADA">
        <w:rPr>
          <w:sz w:val="20"/>
          <w:szCs w:val="20"/>
        </w:rPr>
        <w:t>ironmental Quality Board: 2017) at</w:t>
      </w:r>
      <w:r w:rsidRPr="009F3ADA">
        <w:rPr>
          <w:sz w:val="20"/>
          <w:szCs w:val="20"/>
        </w:rPr>
        <w:t xml:space="preserve"> </w:t>
      </w:r>
      <w:hyperlink r:id="rId42" w:history="1">
        <w:r w:rsidRPr="009F3ADA">
          <w:rPr>
            <w:rStyle w:val="Hyperlink"/>
            <w:sz w:val="20"/>
            <w:szCs w:val="20"/>
          </w:rPr>
          <w:t>https://www.eqb.state.mn.us/content/climate-change</w:t>
        </w:r>
      </w:hyperlink>
    </w:p>
    <w:p w:rsidR="000B5551" w:rsidRPr="009F3ADA" w:rsidRDefault="000B5551" w:rsidP="000B5551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9F3ADA">
        <w:rPr>
          <w:i/>
          <w:sz w:val="20"/>
          <w:szCs w:val="20"/>
        </w:rPr>
        <w:t>High Impact Practices</w:t>
      </w:r>
      <w:r w:rsidRPr="009F3ADA">
        <w:rPr>
          <w:sz w:val="20"/>
          <w:szCs w:val="20"/>
        </w:rPr>
        <w:t xml:space="preserve"> (Urban Sustainability Directors Network</w:t>
      </w:r>
      <w:r w:rsidR="00062C07" w:rsidRPr="009F3ADA">
        <w:rPr>
          <w:sz w:val="20"/>
          <w:szCs w:val="20"/>
        </w:rPr>
        <w:t xml:space="preserve">: 2019) at </w:t>
      </w:r>
      <w:hyperlink r:id="rId43" w:history="1">
        <w:r w:rsidRPr="009F3ADA">
          <w:rPr>
            <w:rStyle w:val="Hyperlink"/>
            <w:sz w:val="20"/>
            <w:szCs w:val="20"/>
          </w:rPr>
          <w:t>https://www.usdn.org/public/page/6/Projects</w:t>
        </w:r>
      </w:hyperlink>
    </w:p>
    <w:p w:rsidR="000B5551" w:rsidRPr="009F3ADA" w:rsidRDefault="000B5551" w:rsidP="000B5551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9F3ADA">
        <w:rPr>
          <w:i/>
          <w:sz w:val="20"/>
          <w:szCs w:val="20"/>
        </w:rPr>
        <w:t xml:space="preserve">Drawdown Solutions </w:t>
      </w:r>
      <w:r w:rsidRPr="009F3ADA">
        <w:rPr>
          <w:sz w:val="20"/>
          <w:szCs w:val="20"/>
        </w:rPr>
        <w:t>(Project Drawdown</w:t>
      </w:r>
      <w:r w:rsidR="00062C07" w:rsidRPr="009F3ADA">
        <w:rPr>
          <w:sz w:val="20"/>
          <w:szCs w:val="20"/>
        </w:rPr>
        <w:t>: 2017) at</w:t>
      </w:r>
      <w:r w:rsidRPr="009F3ADA">
        <w:rPr>
          <w:i/>
          <w:sz w:val="20"/>
          <w:szCs w:val="20"/>
        </w:rPr>
        <w:t xml:space="preserve"> </w:t>
      </w:r>
      <w:hyperlink r:id="rId44" w:history="1">
        <w:r w:rsidRPr="009F3ADA">
          <w:rPr>
            <w:rStyle w:val="Hyperlink"/>
            <w:sz w:val="20"/>
            <w:szCs w:val="20"/>
          </w:rPr>
          <w:t>https://www.drawdown.org/solutions-summary-by-rank</w:t>
        </w:r>
      </w:hyperlink>
    </w:p>
    <w:p w:rsidR="002F744E" w:rsidRDefault="002F744E" w:rsidP="004A1984">
      <w:pPr>
        <w:pStyle w:val="ListParagraph"/>
        <w:spacing w:after="0" w:line="240" w:lineRule="auto"/>
        <w:ind w:left="1800"/>
        <w:jc w:val="right"/>
        <w:rPr>
          <w:sz w:val="18"/>
          <w:szCs w:val="18"/>
        </w:rPr>
      </w:pPr>
    </w:p>
    <w:p w:rsidR="004C167F" w:rsidRPr="004A1984" w:rsidRDefault="00803047" w:rsidP="004A1984">
      <w:pPr>
        <w:pStyle w:val="ListParagraph"/>
        <w:spacing w:after="0" w:line="240" w:lineRule="auto"/>
        <w:ind w:left="1800"/>
        <w:jc w:val="right"/>
        <w:rPr>
          <w:sz w:val="18"/>
          <w:szCs w:val="18"/>
        </w:rPr>
      </w:pPr>
      <w:r>
        <w:rPr>
          <w:sz w:val="18"/>
          <w:szCs w:val="18"/>
        </w:rPr>
        <w:t>(6/6</w:t>
      </w:r>
      <w:r w:rsidR="004A1984" w:rsidRPr="004C167F">
        <w:rPr>
          <w:sz w:val="18"/>
          <w:szCs w:val="18"/>
        </w:rPr>
        <w:t>/19)</w:t>
      </w:r>
    </w:p>
    <w:sectPr w:rsidR="004C167F" w:rsidRPr="004A1984" w:rsidSect="002918B5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DE" w:rsidRDefault="007D28DE" w:rsidP="00062C07">
      <w:pPr>
        <w:spacing w:after="0" w:line="240" w:lineRule="auto"/>
      </w:pPr>
      <w:r>
        <w:separator/>
      </w:r>
    </w:p>
  </w:endnote>
  <w:endnote w:type="continuationSeparator" w:id="0">
    <w:p w:rsidR="007D28DE" w:rsidRDefault="007D28DE" w:rsidP="0006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07" w:rsidRDefault="00062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07" w:rsidRDefault="00062C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07" w:rsidRDefault="00062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DE" w:rsidRDefault="007D28DE" w:rsidP="00062C07">
      <w:pPr>
        <w:spacing w:after="0" w:line="240" w:lineRule="auto"/>
      </w:pPr>
      <w:r>
        <w:separator/>
      </w:r>
    </w:p>
  </w:footnote>
  <w:footnote w:type="continuationSeparator" w:id="0">
    <w:p w:rsidR="007D28DE" w:rsidRDefault="007D28DE" w:rsidP="0006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07" w:rsidRDefault="00062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49393"/>
      <w:docPartObj>
        <w:docPartGallery w:val="Watermarks"/>
        <w:docPartUnique/>
      </w:docPartObj>
    </w:sdtPr>
    <w:sdtEndPr/>
    <w:sdtContent>
      <w:p w:rsidR="00062C07" w:rsidRDefault="007D28D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07" w:rsidRDefault="00062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37D9"/>
      </v:shape>
    </w:pict>
  </w:numPicBullet>
  <w:abstractNum w:abstractNumId="0" w15:restartNumberingAfterBreak="0">
    <w:nsid w:val="0A2A2C9C"/>
    <w:multiLevelType w:val="hybridMultilevel"/>
    <w:tmpl w:val="08724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91302"/>
    <w:multiLevelType w:val="hybridMultilevel"/>
    <w:tmpl w:val="EFB4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69D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3009"/>
    <w:multiLevelType w:val="hybridMultilevel"/>
    <w:tmpl w:val="F378FE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777F"/>
    <w:multiLevelType w:val="hybridMultilevel"/>
    <w:tmpl w:val="EF38CA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44C2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4478B"/>
    <w:multiLevelType w:val="hybridMultilevel"/>
    <w:tmpl w:val="B558A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9A3892"/>
    <w:multiLevelType w:val="hybridMultilevel"/>
    <w:tmpl w:val="E656212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F8A0ED3"/>
    <w:multiLevelType w:val="hybridMultilevel"/>
    <w:tmpl w:val="CD28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E0C1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A5549"/>
    <w:multiLevelType w:val="hybridMultilevel"/>
    <w:tmpl w:val="2D22E5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393412"/>
    <w:multiLevelType w:val="hybridMultilevel"/>
    <w:tmpl w:val="83140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5D3576"/>
    <w:multiLevelType w:val="hybridMultilevel"/>
    <w:tmpl w:val="32D6B076"/>
    <w:lvl w:ilvl="0" w:tplc="54E2E70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1763A"/>
    <w:multiLevelType w:val="hybridMultilevel"/>
    <w:tmpl w:val="A732A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44C2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27476"/>
    <w:multiLevelType w:val="hybridMultilevel"/>
    <w:tmpl w:val="4DC26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720D"/>
    <w:multiLevelType w:val="hybridMultilevel"/>
    <w:tmpl w:val="7D8CE6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865FAE"/>
    <w:multiLevelType w:val="hybridMultilevel"/>
    <w:tmpl w:val="489E3624"/>
    <w:lvl w:ilvl="0" w:tplc="10E0BBD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70824"/>
    <w:multiLevelType w:val="hybridMultilevel"/>
    <w:tmpl w:val="0850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12FB9"/>
    <w:multiLevelType w:val="hybridMultilevel"/>
    <w:tmpl w:val="16E24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954233E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5044C2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C61E8"/>
    <w:multiLevelType w:val="hybridMultilevel"/>
    <w:tmpl w:val="A314D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653FE"/>
    <w:multiLevelType w:val="hybridMultilevel"/>
    <w:tmpl w:val="58F2BC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5044C2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1669"/>
    <w:multiLevelType w:val="hybridMultilevel"/>
    <w:tmpl w:val="F870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4006A"/>
    <w:multiLevelType w:val="hybridMultilevel"/>
    <w:tmpl w:val="1ED2CD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7635C"/>
    <w:multiLevelType w:val="hybridMultilevel"/>
    <w:tmpl w:val="23889F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6"/>
  </w:num>
  <w:num w:numId="8">
    <w:abstractNumId w:val="1"/>
  </w:num>
  <w:num w:numId="9">
    <w:abstractNumId w:val="14"/>
  </w:num>
  <w:num w:numId="10">
    <w:abstractNumId w:val="4"/>
  </w:num>
  <w:num w:numId="11">
    <w:abstractNumId w:val="9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11"/>
  </w:num>
  <w:num w:numId="18">
    <w:abstractNumId w:val="19"/>
  </w:num>
  <w:num w:numId="19">
    <w:abstractNumId w:val="2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6"/>
    <w:rsid w:val="00006720"/>
    <w:rsid w:val="000251C9"/>
    <w:rsid w:val="00062C07"/>
    <w:rsid w:val="000B5551"/>
    <w:rsid w:val="00102559"/>
    <w:rsid w:val="00107A2B"/>
    <w:rsid w:val="0012648E"/>
    <w:rsid w:val="0013116B"/>
    <w:rsid w:val="00143F2D"/>
    <w:rsid w:val="00194850"/>
    <w:rsid w:val="001C0521"/>
    <w:rsid w:val="001D53DE"/>
    <w:rsid w:val="001E4B75"/>
    <w:rsid w:val="002052DC"/>
    <w:rsid w:val="00222414"/>
    <w:rsid w:val="002524DC"/>
    <w:rsid w:val="002918B5"/>
    <w:rsid w:val="002F744E"/>
    <w:rsid w:val="0030277B"/>
    <w:rsid w:val="00315039"/>
    <w:rsid w:val="00331CDD"/>
    <w:rsid w:val="00332F0D"/>
    <w:rsid w:val="00350EBD"/>
    <w:rsid w:val="0035632A"/>
    <w:rsid w:val="003635F4"/>
    <w:rsid w:val="003C2A10"/>
    <w:rsid w:val="00425B1A"/>
    <w:rsid w:val="00486837"/>
    <w:rsid w:val="004A1984"/>
    <w:rsid w:val="004C167F"/>
    <w:rsid w:val="004D0426"/>
    <w:rsid w:val="004E7C26"/>
    <w:rsid w:val="00523719"/>
    <w:rsid w:val="00542571"/>
    <w:rsid w:val="00574C47"/>
    <w:rsid w:val="005C01F7"/>
    <w:rsid w:val="005C6DF5"/>
    <w:rsid w:val="005D1DA6"/>
    <w:rsid w:val="005F6467"/>
    <w:rsid w:val="00611662"/>
    <w:rsid w:val="006F339A"/>
    <w:rsid w:val="00700F5F"/>
    <w:rsid w:val="00751CF4"/>
    <w:rsid w:val="0077162C"/>
    <w:rsid w:val="007862F8"/>
    <w:rsid w:val="007B1C3B"/>
    <w:rsid w:val="007C5A11"/>
    <w:rsid w:val="007D28DE"/>
    <w:rsid w:val="007E5BA8"/>
    <w:rsid w:val="00803047"/>
    <w:rsid w:val="00817FC2"/>
    <w:rsid w:val="008A6FB3"/>
    <w:rsid w:val="008B54BB"/>
    <w:rsid w:val="008D4CAF"/>
    <w:rsid w:val="008E3286"/>
    <w:rsid w:val="00902A4C"/>
    <w:rsid w:val="00972688"/>
    <w:rsid w:val="009F3ADA"/>
    <w:rsid w:val="00A24D85"/>
    <w:rsid w:val="00A31B0E"/>
    <w:rsid w:val="00A434AE"/>
    <w:rsid w:val="00A85903"/>
    <w:rsid w:val="00A85C7F"/>
    <w:rsid w:val="00AB4AEF"/>
    <w:rsid w:val="00AE4400"/>
    <w:rsid w:val="00B041A0"/>
    <w:rsid w:val="00B07198"/>
    <w:rsid w:val="00B2660C"/>
    <w:rsid w:val="00B53CE3"/>
    <w:rsid w:val="00BA2A28"/>
    <w:rsid w:val="00BE0169"/>
    <w:rsid w:val="00BE6AA7"/>
    <w:rsid w:val="00BF0A6A"/>
    <w:rsid w:val="00BF22B5"/>
    <w:rsid w:val="00C12335"/>
    <w:rsid w:val="00C8702F"/>
    <w:rsid w:val="00C947AC"/>
    <w:rsid w:val="00C9633F"/>
    <w:rsid w:val="00CA7E6C"/>
    <w:rsid w:val="00CC6E56"/>
    <w:rsid w:val="00CD5BBF"/>
    <w:rsid w:val="00D07C28"/>
    <w:rsid w:val="00D55761"/>
    <w:rsid w:val="00D67B3B"/>
    <w:rsid w:val="00D94F73"/>
    <w:rsid w:val="00D961DF"/>
    <w:rsid w:val="00DA3E34"/>
    <w:rsid w:val="00DB427B"/>
    <w:rsid w:val="00DB76A2"/>
    <w:rsid w:val="00DD57FD"/>
    <w:rsid w:val="00DD7719"/>
    <w:rsid w:val="00DE1383"/>
    <w:rsid w:val="00E95FDD"/>
    <w:rsid w:val="00EA7F41"/>
    <w:rsid w:val="00EC13B5"/>
    <w:rsid w:val="00EE28D4"/>
    <w:rsid w:val="00F23E59"/>
    <w:rsid w:val="00F32734"/>
    <w:rsid w:val="00F639DE"/>
    <w:rsid w:val="00FA12E2"/>
    <w:rsid w:val="00FD1034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0F9210-AFE6-4090-A7A8-8885964A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C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C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07"/>
  </w:style>
  <w:style w:type="paragraph" w:styleId="Footer">
    <w:name w:val="footer"/>
    <w:basedOn w:val="Normal"/>
    <w:link w:val="FooterChar"/>
    <w:uiPriority w:val="99"/>
    <w:unhideWhenUsed/>
    <w:rsid w:val="0006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07"/>
  </w:style>
  <w:style w:type="character" w:styleId="HTMLCite">
    <w:name w:val="HTML Cite"/>
    <w:basedOn w:val="DefaultParagraphFont"/>
    <w:uiPriority w:val="99"/>
    <w:semiHidden/>
    <w:unhideWhenUsed/>
    <w:rsid w:val="00143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esh-energy.org/whats-happening-at-the-legislature-march-update/" TargetMode="External"/><Relationship Id="rId18" Type="http://schemas.openxmlformats.org/officeDocument/2006/relationships/hyperlink" Target="https://greenstep.pca.state.mn.us/bestPracticesDetail_actions.cfm?bpid=10&amp;aid=773" TargetMode="External"/><Relationship Id="rId26" Type="http://schemas.openxmlformats.org/officeDocument/2006/relationships/hyperlink" Target="https://greenstep.pca.state.mn.us/bestPracticesDetail_actions.cfm?bpid=3&amp;aid=732" TargetMode="External"/><Relationship Id="rId39" Type="http://schemas.openxmlformats.org/officeDocument/2006/relationships/hyperlink" Target="https://greenstep.pca.state.mn.us/bestPracticesDetail_actions.cfm?bpid=25&amp;aid=873" TargetMode="External"/><Relationship Id="rId21" Type="http://schemas.openxmlformats.org/officeDocument/2006/relationships/hyperlink" Target="https://greenstep.pca.state.mn.us/bestPracticesDetail_actions.cfm?bpid=12&amp;aid=781" TargetMode="External"/><Relationship Id="rId34" Type="http://schemas.openxmlformats.org/officeDocument/2006/relationships/hyperlink" Target="https://greenstep.pca.state.mn.us/bestPracticesDetail_actions.cfm?bpid=16&amp;aid=798" TargetMode="External"/><Relationship Id="rId42" Type="http://schemas.openxmlformats.org/officeDocument/2006/relationships/hyperlink" Target="https://www.eqb.state.mn.us/content/climate-change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reenstep.pca.state.mn.us/bestPracticesDetail.cfm?bpnum=8" TargetMode="External"/><Relationship Id="rId29" Type="http://schemas.openxmlformats.org/officeDocument/2006/relationships/hyperlink" Target="https://greenstep.pca.state.mn.us/bestPracticesDetail_actions.cfm?bpid=22&amp;aid=846" TargetMode="External"/><Relationship Id="rId11" Type="http://schemas.openxmlformats.org/officeDocument/2006/relationships/hyperlink" Target="https://greenstep.pca.state.mn.us/bestPracticesDetail_actions.cfm?bpid=2&amp;aid=726" TargetMode="External"/><Relationship Id="rId24" Type="http://schemas.openxmlformats.org/officeDocument/2006/relationships/hyperlink" Target="https://greenstep.pca.state.mn.us/bestPracticesDetail.cfm?bpid=6" TargetMode="External"/><Relationship Id="rId32" Type="http://schemas.openxmlformats.org/officeDocument/2006/relationships/hyperlink" Target="https://greenstep.pca.state.mn.us/bestPracticesDetail_actions.cfm?bpid=12&amp;aid=894" TargetMode="External"/><Relationship Id="rId37" Type="http://schemas.openxmlformats.org/officeDocument/2006/relationships/hyperlink" Target="https://greenstep.pca.state.mn.us/bestPracticesDetail_actions.cfm?bpid=2&amp;aid=721" TargetMode="External"/><Relationship Id="rId40" Type="http://schemas.openxmlformats.org/officeDocument/2006/relationships/hyperlink" Target="https://greenstep.pca.state.mn.us/bestPracticesDetail_actions.cfm?bpid=6&amp;aid=752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reenstep.pca.state.mn.us/bestPracticesDetail_actions.cfm?bpid=7&amp;aid=755" TargetMode="External"/><Relationship Id="rId23" Type="http://schemas.openxmlformats.org/officeDocument/2006/relationships/hyperlink" Target="https://greenstep.pca.state.mn.us/bestPracticesDetail_actions.cfm?bpid=14&amp;aid=793" TargetMode="External"/><Relationship Id="rId28" Type="http://schemas.openxmlformats.org/officeDocument/2006/relationships/hyperlink" Target="https://greenstep.pca.state.mn.us/bestPracticesDetail_actions.cfm?bpid=16&amp;aid=808" TargetMode="External"/><Relationship Id="rId36" Type="http://schemas.openxmlformats.org/officeDocument/2006/relationships/hyperlink" Target="https://greenstep.pca.state.mn.us/bestPracticesDetail_actions.cfm?bpid=25&amp;aid=884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greenstep.pca.state.mn.us/bestPracticesDetail_actions.cfm?bpid=2&amp;aid=723" TargetMode="External"/><Relationship Id="rId19" Type="http://schemas.openxmlformats.org/officeDocument/2006/relationships/hyperlink" Target="https://greenstep.pca.state.mn.us/bestPracticesDetail_actions.cfm?bpid=11&amp;aid=775" TargetMode="External"/><Relationship Id="rId31" Type="http://schemas.openxmlformats.org/officeDocument/2006/relationships/hyperlink" Target="https://greenstep.pca.state.mn.us/bestPracticesDetail_actions.cfm?bpid=22&amp;aid=845" TargetMode="External"/><Relationship Id="rId44" Type="http://schemas.openxmlformats.org/officeDocument/2006/relationships/hyperlink" Target="https://www.drawdown.org/solutions-summary-by-rank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reenstep.pca.state.mn.us/bestPracticesDetail_actions.cfm?bpid=2&amp;aid=723" TargetMode="External"/><Relationship Id="rId14" Type="http://schemas.openxmlformats.org/officeDocument/2006/relationships/hyperlink" Target="https://greenstep.pca.state.mn.us/bestPracticesDetail_actions.cfm?bpid=7&amp;aid=754" TargetMode="External"/><Relationship Id="rId22" Type="http://schemas.openxmlformats.org/officeDocument/2006/relationships/hyperlink" Target="https://greenstep.pca.state.mn.us/bestPracticesDetail_actions.cfm?bpid=14&amp;aid=793" TargetMode="External"/><Relationship Id="rId27" Type="http://schemas.openxmlformats.org/officeDocument/2006/relationships/hyperlink" Target="https://greenstep.pca.state.mn.us/bestPracticesDetail_actions.cfm?bpid=12&amp;aid=785" TargetMode="External"/><Relationship Id="rId30" Type="http://schemas.openxmlformats.org/officeDocument/2006/relationships/hyperlink" Target="https://greenstep.pca.state.mn.us/bestPracticesDetail_actions.cfm?bpid=24&amp;aid=861" TargetMode="External"/><Relationship Id="rId35" Type="http://schemas.openxmlformats.org/officeDocument/2006/relationships/hyperlink" Target="https://greenstep.pca.state.mn.us/bestPracticesDetail_actions.cfm?bpid=25&amp;aid=868" TargetMode="External"/><Relationship Id="rId43" Type="http://schemas.openxmlformats.org/officeDocument/2006/relationships/hyperlink" Target="https://www.usdn.org/public/page/6/Projects" TargetMode="External"/><Relationship Id="rId48" Type="http://schemas.openxmlformats.org/officeDocument/2006/relationships/footer" Target="footer2.xml"/><Relationship Id="rId8" Type="http://schemas.openxmlformats.org/officeDocument/2006/relationships/hyperlink" Target="https://greenstep.pca.state.mn.us/bestPracticesDetail_actions.cfm?bpid=1&amp;aid=714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greenstep.pca.state.mn.us/bestPracticesDetail_actions.cfm?bpid=3&amp;aid=731" TargetMode="External"/><Relationship Id="rId17" Type="http://schemas.openxmlformats.org/officeDocument/2006/relationships/hyperlink" Target="https://greenstep.pca.state.mn.us/bestPracticesDetail_actions.cfm?bpid=10&amp;aid=771" TargetMode="External"/><Relationship Id="rId25" Type="http://schemas.openxmlformats.org/officeDocument/2006/relationships/hyperlink" Target="https://greenstep.pca.state.mn.us/bestPracticesDetail_actions.cfm?bpid=14&amp;aid=796" TargetMode="External"/><Relationship Id="rId33" Type="http://schemas.openxmlformats.org/officeDocument/2006/relationships/hyperlink" Target="https://greenstep.pca.state.mn.us/bestPracticesDetail_actions.cfm?bpid=15&amp;aid=799" TargetMode="External"/><Relationship Id="rId38" Type="http://schemas.openxmlformats.org/officeDocument/2006/relationships/hyperlink" Target="https://greenstep.pca.state.mn.us/bestPracticesDetail_actions.cfm?bpid=25&amp;aid=870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greenstep.pca.state.mn.us/bestPracticesDetail_actions.cfm?bpid=12&amp;aid=786" TargetMode="External"/><Relationship Id="rId41" Type="http://schemas.openxmlformats.org/officeDocument/2006/relationships/hyperlink" Target="https://greenstep.pca.state.mn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9A5B-774E-4B68-898E-54F2CAD7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Muessig, Philipp (MPCA)</dc:creator>
  <cp:keywords/>
  <dc:description/>
  <cp:lastModifiedBy>Sean Gosiewski</cp:lastModifiedBy>
  <cp:revision>49</cp:revision>
  <dcterms:created xsi:type="dcterms:W3CDTF">2019-05-20T22:51:00Z</dcterms:created>
  <dcterms:modified xsi:type="dcterms:W3CDTF">2019-06-13T21:39:00Z</dcterms:modified>
</cp:coreProperties>
</file>