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2" w:rsidRPr="00BF6D62" w:rsidRDefault="00BF6D62" w:rsidP="007C7B51">
      <w:pPr>
        <w:spacing w:after="0"/>
        <w:rPr>
          <w:sz w:val="16"/>
          <w:szCs w:val="16"/>
        </w:rPr>
      </w:pPr>
    </w:p>
    <w:tbl>
      <w:tblPr>
        <w:tblStyle w:val="TableGrid"/>
        <w:tblW w:w="0" w:type="auto"/>
        <w:tblLook w:val="04A0" w:firstRow="1" w:lastRow="0" w:firstColumn="1" w:lastColumn="0" w:noHBand="0" w:noVBand="1"/>
      </w:tblPr>
      <w:tblGrid>
        <w:gridCol w:w="3145"/>
        <w:gridCol w:w="1080"/>
        <w:gridCol w:w="2160"/>
        <w:gridCol w:w="3685"/>
      </w:tblGrid>
      <w:tr w:rsidR="00E657A0" w:rsidTr="00E54D1F">
        <w:trPr>
          <w:trHeight w:val="863"/>
        </w:trPr>
        <w:tc>
          <w:tcPr>
            <w:tcW w:w="10070" w:type="dxa"/>
            <w:gridSpan w:val="4"/>
          </w:tcPr>
          <w:p w:rsidR="00E657A0" w:rsidRDefault="00E657A0" w:rsidP="00A059F7">
            <w:pPr>
              <w:jc w:val="center"/>
              <w:rPr>
                <w:b/>
                <w:bCs/>
                <w:sz w:val="80"/>
                <w:szCs w:val="80"/>
              </w:rPr>
            </w:pPr>
            <w:r w:rsidRPr="00BF6D62">
              <w:rPr>
                <w:b/>
                <w:bCs/>
                <w:sz w:val="80"/>
                <w:szCs w:val="80"/>
              </w:rPr>
              <w:t>MN Resilient Cities Coalition</w:t>
            </w:r>
          </w:p>
          <w:p w:rsidR="00A059F7" w:rsidRPr="00A059F7" w:rsidRDefault="00A059F7" w:rsidP="00A059F7">
            <w:pPr>
              <w:jc w:val="center"/>
              <w:rPr>
                <w:rFonts w:cstheme="minorHAnsi"/>
                <w:b/>
                <w:bCs/>
                <w:sz w:val="24"/>
                <w:szCs w:val="24"/>
              </w:rPr>
            </w:pPr>
            <w:r w:rsidRPr="003D63A6">
              <w:rPr>
                <w:rFonts w:cstheme="minorHAnsi"/>
                <w:b/>
                <w:bCs/>
                <w:sz w:val="32"/>
                <w:szCs w:val="32"/>
              </w:rPr>
              <w:t xml:space="preserve">Elected Leaders, City staff and commission volunteers </w:t>
            </w:r>
            <w:r>
              <w:rPr>
                <w:rFonts w:cstheme="minorHAnsi"/>
                <w:b/>
                <w:bCs/>
                <w:sz w:val="24"/>
                <w:szCs w:val="24"/>
              </w:rPr>
              <w:t>from 40</w:t>
            </w:r>
            <w:r w:rsidRPr="003D63A6">
              <w:rPr>
                <w:rFonts w:cstheme="minorHAnsi"/>
                <w:b/>
                <w:bCs/>
                <w:sz w:val="24"/>
                <w:szCs w:val="24"/>
              </w:rPr>
              <w:t xml:space="preserve"> MN Cities</w:t>
            </w:r>
            <w:r w:rsidRPr="003D63A6">
              <w:rPr>
                <w:b/>
                <w:sz w:val="24"/>
                <w:szCs w:val="24"/>
              </w:rPr>
              <w:t xml:space="preserve"> collaborating to meet their community-wide energy, climate and resilience goals. </w:t>
            </w:r>
            <w:hyperlink r:id="rId5" w:history="1">
              <w:r w:rsidRPr="00E649D5">
                <w:rPr>
                  <w:rStyle w:val="Hyperlink"/>
                  <w:b/>
                  <w:sz w:val="24"/>
                  <w:szCs w:val="24"/>
                </w:rPr>
                <w:t>www.allianceforsustainability.com/resilientcities</w:t>
              </w:r>
            </w:hyperlink>
          </w:p>
        </w:tc>
      </w:tr>
      <w:tr w:rsidR="00A059F7" w:rsidTr="003765E6">
        <w:trPr>
          <w:trHeight w:val="341"/>
        </w:trPr>
        <w:tc>
          <w:tcPr>
            <w:tcW w:w="10070" w:type="dxa"/>
            <w:gridSpan w:val="4"/>
          </w:tcPr>
          <w:p w:rsidR="00A059F7" w:rsidRPr="003765E6" w:rsidRDefault="003765E6" w:rsidP="003765E6">
            <w:pPr>
              <w:jc w:val="center"/>
            </w:pPr>
            <w:r w:rsidRPr="003765E6">
              <w:rPr>
                <w:b/>
              </w:rPr>
              <w:t>C</w:t>
            </w:r>
            <w:r w:rsidR="00A059F7" w:rsidRPr="003765E6">
              <w:rPr>
                <w:b/>
              </w:rPr>
              <w:t>ontact</w:t>
            </w:r>
            <w:r w:rsidRPr="003765E6">
              <w:t xml:space="preserve"> </w:t>
            </w:r>
            <w:r w:rsidR="00A059F7" w:rsidRPr="003765E6">
              <w:t xml:space="preserve">Sean Gosiewski, Executive Director, Alliance for Sustainability,  612-250-0389 </w:t>
            </w:r>
            <w:hyperlink r:id="rId6" w:history="1">
              <w:r w:rsidR="00A059F7" w:rsidRPr="003765E6">
                <w:rPr>
                  <w:rStyle w:val="Hyperlink"/>
                </w:rPr>
                <w:t>Sean@afors.org</w:t>
              </w:r>
            </w:hyperlink>
          </w:p>
        </w:tc>
      </w:tr>
      <w:tr w:rsidR="00A059F7" w:rsidTr="00F07A8D">
        <w:trPr>
          <w:trHeight w:val="2294"/>
        </w:trPr>
        <w:tc>
          <w:tcPr>
            <w:tcW w:w="4225" w:type="dxa"/>
            <w:gridSpan w:val="2"/>
          </w:tcPr>
          <w:p w:rsidR="00A059F7" w:rsidRPr="00E54D1F" w:rsidRDefault="00A059F7" w:rsidP="00A059F7">
            <w:pPr>
              <w:rPr>
                <w:sz w:val="24"/>
                <w:szCs w:val="24"/>
              </w:rPr>
            </w:pPr>
            <w:r>
              <w:rPr>
                <w:noProof/>
                <w:sz w:val="24"/>
                <w:szCs w:val="24"/>
              </w:rPr>
              <w:drawing>
                <wp:inline distT="0" distB="0" distL="0" distR="0" wp14:anchorId="2B6949D9" wp14:editId="0142C63A">
                  <wp:extent cx="2520950" cy="1892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lientCitiesJune2017.jpg"/>
                          <pic:cNvPicPr/>
                        </pic:nvPicPr>
                        <pic:blipFill>
                          <a:blip r:embed="rId7">
                            <a:extLst>
                              <a:ext uri="{28A0092B-C50C-407E-A947-70E740481C1C}">
                                <a14:useLocalDpi xmlns:a14="http://schemas.microsoft.com/office/drawing/2010/main" val="0"/>
                              </a:ext>
                            </a:extLst>
                          </a:blip>
                          <a:stretch>
                            <a:fillRect/>
                          </a:stretch>
                        </pic:blipFill>
                        <pic:spPr>
                          <a:xfrm>
                            <a:off x="0" y="0"/>
                            <a:ext cx="2531478" cy="1900740"/>
                          </a:xfrm>
                          <a:prstGeom prst="rect">
                            <a:avLst/>
                          </a:prstGeom>
                        </pic:spPr>
                      </pic:pic>
                    </a:graphicData>
                  </a:graphic>
                </wp:inline>
              </w:drawing>
            </w:r>
          </w:p>
        </w:tc>
        <w:tc>
          <w:tcPr>
            <w:tcW w:w="5845" w:type="dxa"/>
            <w:gridSpan w:val="2"/>
          </w:tcPr>
          <w:p w:rsidR="00A059F7" w:rsidRDefault="00A059F7" w:rsidP="00A059F7">
            <w:r w:rsidRPr="00A059F7">
              <w:t xml:space="preserve">Please RSVP to join us in person or on line for </w:t>
            </w:r>
            <w:proofErr w:type="gramStart"/>
            <w:r>
              <w:t>our</w:t>
            </w:r>
            <w:proofErr w:type="gramEnd"/>
          </w:p>
          <w:p w:rsidR="00A059F7" w:rsidRPr="00C401C1" w:rsidRDefault="00A059F7" w:rsidP="00A059F7">
            <w:pPr>
              <w:rPr>
                <w:sz w:val="16"/>
                <w:szCs w:val="16"/>
              </w:rPr>
            </w:pPr>
          </w:p>
          <w:p w:rsidR="00A059F7" w:rsidRPr="00982FCE" w:rsidRDefault="00A059F7" w:rsidP="00A059F7">
            <w:pPr>
              <w:rPr>
                <w:b/>
                <w:sz w:val="20"/>
                <w:szCs w:val="20"/>
              </w:rPr>
            </w:pPr>
            <w:r w:rsidRPr="00C401C1">
              <w:rPr>
                <w:b/>
                <w:sz w:val="28"/>
                <w:szCs w:val="28"/>
              </w:rPr>
              <w:t xml:space="preserve">Spring 2018 Planning for Resilient Cities </w:t>
            </w:r>
            <w:r w:rsidRPr="00982FCE">
              <w:rPr>
                <w:b/>
                <w:sz w:val="24"/>
                <w:szCs w:val="24"/>
              </w:rPr>
              <w:t xml:space="preserve">Workshop </w:t>
            </w:r>
            <w:r w:rsidR="00982FCE" w:rsidRPr="00982FCE">
              <w:rPr>
                <w:sz w:val="20"/>
                <w:szCs w:val="20"/>
              </w:rPr>
              <w:t>11:30 a.m. to 1:30 p.m.</w:t>
            </w:r>
            <w:r w:rsidR="00982FCE">
              <w:rPr>
                <w:sz w:val="20"/>
                <w:szCs w:val="20"/>
              </w:rPr>
              <w:t>,</w:t>
            </w:r>
            <w:r w:rsidR="00CC36AB" w:rsidRPr="00982FCE">
              <w:rPr>
                <w:b/>
                <w:sz w:val="24"/>
                <w:szCs w:val="24"/>
              </w:rPr>
              <w:t xml:space="preserve"> </w:t>
            </w:r>
            <w:r w:rsidRPr="00982FCE">
              <w:rPr>
                <w:b/>
                <w:sz w:val="24"/>
                <w:szCs w:val="24"/>
              </w:rPr>
              <w:t>Webinar</w:t>
            </w:r>
            <w:r w:rsidR="00CC36AB" w:rsidRPr="00982FCE">
              <w:rPr>
                <w:b/>
                <w:sz w:val="24"/>
                <w:szCs w:val="24"/>
              </w:rPr>
              <w:t xml:space="preserve"> </w:t>
            </w:r>
            <w:r w:rsidR="00982FCE" w:rsidRPr="00982FCE">
              <w:rPr>
                <w:sz w:val="20"/>
                <w:szCs w:val="20"/>
              </w:rPr>
              <w:t>Noon to 1:00</w:t>
            </w:r>
            <w:r w:rsidR="00982FCE">
              <w:rPr>
                <w:sz w:val="20"/>
                <w:szCs w:val="20"/>
              </w:rPr>
              <w:t xml:space="preserve"> p.m.</w:t>
            </w:r>
            <w:bookmarkStart w:id="0" w:name="_GoBack"/>
            <w:bookmarkEnd w:id="0"/>
          </w:p>
          <w:p w:rsidR="00A059F7" w:rsidRPr="00A059F7" w:rsidRDefault="00CC36AB" w:rsidP="00A059F7">
            <w:pPr>
              <w:rPr>
                <w:b/>
              </w:rPr>
            </w:pPr>
            <w:r>
              <w:rPr>
                <w:b/>
                <w:sz w:val="24"/>
                <w:szCs w:val="24"/>
              </w:rPr>
              <w:t>Wed April 11</w:t>
            </w:r>
            <w:r w:rsidR="00A059F7" w:rsidRPr="00A059F7">
              <w:rPr>
                <w:b/>
                <w:sz w:val="24"/>
                <w:szCs w:val="24"/>
              </w:rPr>
              <w:t xml:space="preserve">, </w:t>
            </w:r>
            <w:r w:rsidR="00A059F7" w:rsidRPr="00A059F7">
              <w:rPr>
                <w:b/>
              </w:rPr>
              <w:t xml:space="preserve">2018 </w:t>
            </w:r>
          </w:p>
          <w:p w:rsidR="00F07A8D" w:rsidRDefault="00A059F7" w:rsidP="00A059F7">
            <w:pPr>
              <w:rPr>
                <w:b/>
                <w:sz w:val="24"/>
                <w:szCs w:val="24"/>
              </w:rPr>
            </w:pPr>
            <w:r w:rsidRPr="00A059F7">
              <w:rPr>
                <w:b/>
                <w:sz w:val="24"/>
                <w:szCs w:val="24"/>
              </w:rPr>
              <w:t xml:space="preserve">League of MN Cities </w:t>
            </w:r>
          </w:p>
          <w:p w:rsidR="00A059F7" w:rsidRPr="00F07A8D" w:rsidRDefault="00A059F7" w:rsidP="00A059F7">
            <w:pPr>
              <w:rPr>
                <w:b/>
              </w:rPr>
            </w:pPr>
            <w:r w:rsidRPr="00F07A8D">
              <w:t>145 University Ave W, St Paul, MN 55103</w:t>
            </w:r>
          </w:p>
          <w:p w:rsidR="00A059F7" w:rsidRPr="00C401C1" w:rsidRDefault="00A059F7" w:rsidP="00A059F7">
            <w:pPr>
              <w:rPr>
                <w:b/>
                <w:sz w:val="16"/>
                <w:szCs w:val="16"/>
              </w:rPr>
            </w:pPr>
          </w:p>
          <w:p w:rsidR="00A059F7" w:rsidRPr="00F07A8D" w:rsidRDefault="00A059F7" w:rsidP="00F72E93">
            <w:pPr>
              <w:rPr>
                <w:sz w:val="24"/>
                <w:szCs w:val="24"/>
              </w:rPr>
            </w:pPr>
            <w:r w:rsidRPr="00F07A8D">
              <w:rPr>
                <w:sz w:val="24"/>
                <w:szCs w:val="24"/>
              </w:rPr>
              <w:t xml:space="preserve">Learn from and explore with metro </w:t>
            </w:r>
            <w:r w:rsidR="00F72E93" w:rsidRPr="00F07A8D">
              <w:rPr>
                <w:sz w:val="24"/>
                <w:szCs w:val="24"/>
              </w:rPr>
              <w:t>City and County planning staff who will</w:t>
            </w:r>
            <w:r w:rsidRPr="00F07A8D">
              <w:rPr>
                <w:sz w:val="24"/>
                <w:szCs w:val="24"/>
              </w:rPr>
              <w:t xml:space="preserve"> </w:t>
            </w:r>
            <w:r w:rsidR="00C401C1" w:rsidRPr="00F07A8D">
              <w:rPr>
                <w:sz w:val="24"/>
                <w:szCs w:val="24"/>
              </w:rPr>
              <w:t>shar</w:t>
            </w:r>
            <w:r w:rsidR="00F72E93" w:rsidRPr="00F07A8D">
              <w:rPr>
                <w:sz w:val="24"/>
                <w:szCs w:val="24"/>
              </w:rPr>
              <w:t>e</w:t>
            </w:r>
            <w:r w:rsidRPr="00F07A8D">
              <w:rPr>
                <w:sz w:val="24"/>
                <w:szCs w:val="24"/>
              </w:rPr>
              <w:t xml:space="preserve"> </w:t>
            </w:r>
          </w:p>
        </w:tc>
      </w:tr>
      <w:tr w:rsidR="00A059F7" w:rsidTr="003D63A6">
        <w:trPr>
          <w:trHeight w:val="656"/>
        </w:trPr>
        <w:tc>
          <w:tcPr>
            <w:tcW w:w="10070" w:type="dxa"/>
            <w:gridSpan w:val="4"/>
          </w:tcPr>
          <w:p w:rsidR="00F07A8D" w:rsidRDefault="00F07A8D" w:rsidP="00F07A8D">
            <w:pPr>
              <w:pStyle w:val="ListParagraph"/>
              <w:numPr>
                <w:ilvl w:val="0"/>
                <w:numId w:val="7"/>
              </w:numPr>
              <w:spacing w:after="60"/>
              <w:rPr>
                <w:rFonts w:asciiTheme="minorHAnsi" w:hAnsiTheme="minorHAnsi" w:cstheme="minorHAnsi"/>
                <w:color w:val="1F497D"/>
                <w:sz w:val="22"/>
                <w:szCs w:val="22"/>
              </w:rPr>
            </w:pPr>
            <w:r>
              <w:rPr>
                <w:rFonts w:asciiTheme="minorHAnsi" w:hAnsiTheme="minorHAnsi" w:cstheme="minorHAnsi"/>
                <w:sz w:val="22"/>
                <w:szCs w:val="22"/>
              </w:rPr>
              <w:t>Energy, resilience and equity-related goals and strategies from their draft 2040 Comprehensive Plans</w:t>
            </w:r>
          </w:p>
          <w:p w:rsidR="00F07A8D" w:rsidRDefault="00F07A8D" w:rsidP="00F07A8D">
            <w:pPr>
              <w:pStyle w:val="ListParagraph"/>
              <w:numPr>
                <w:ilvl w:val="0"/>
                <w:numId w:val="7"/>
              </w:numPr>
              <w:spacing w:after="60"/>
              <w:rPr>
                <w:rFonts w:asciiTheme="minorHAnsi" w:hAnsiTheme="minorHAnsi" w:cstheme="minorHAnsi"/>
                <w:color w:val="1F497D"/>
                <w:sz w:val="22"/>
                <w:szCs w:val="22"/>
              </w:rPr>
            </w:pPr>
            <w:r>
              <w:rPr>
                <w:rFonts w:asciiTheme="minorHAnsi" w:hAnsiTheme="minorHAnsi" w:cstheme="minorHAnsi"/>
                <w:sz w:val="22"/>
                <w:szCs w:val="22"/>
              </w:rPr>
              <w:t>Implementation strategies and partnerships to expand building efficiency, use of solar and wind, job access, EV readiness and infrastructure resilience.</w:t>
            </w:r>
          </w:p>
          <w:p w:rsidR="00F07A8D" w:rsidRPr="00F07A8D" w:rsidRDefault="00F07A8D" w:rsidP="00F07A8D">
            <w:pPr>
              <w:pStyle w:val="ListParagraph"/>
              <w:numPr>
                <w:ilvl w:val="0"/>
                <w:numId w:val="7"/>
              </w:numPr>
              <w:spacing w:after="60"/>
              <w:rPr>
                <w:rFonts w:asciiTheme="minorHAnsi" w:hAnsiTheme="minorHAnsi" w:cstheme="minorBidi"/>
                <w:sz w:val="22"/>
                <w:szCs w:val="22"/>
              </w:rPr>
            </w:pPr>
            <w:r w:rsidRPr="00F07A8D">
              <w:rPr>
                <w:rFonts w:asciiTheme="minorHAnsi" w:hAnsiTheme="minorHAnsi" w:cstheme="minorBidi"/>
                <w:sz w:val="22"/>
                <w:szCs w:val="22"/>
              </w:rPr>
              <w:t>How cities are working together to launch a MN Resilient Cities Coalition to advance their work</w:t>
            </w:r>
          </w:p>
          <w:p w:rsidR="00A059F7" w:rsidRPr="00C401C1" w:rsidRDefault="00A059F7" w:rsidP="00C401C1">
            <w:pPr>
              <w:spacing w:after="80"/>
            </w:pPr>
            <w:r w:rsidRPr="00C401C1">
              <w:t xml:space="preserve">FREE </w:t>
            </w:r>
            <w:r w:rsidR="00C401C1" w:rsidRPr="00C401C1">
              <w:t>Workshop &amp; Webinar – please RSVP</w:t>
            </w:r>
            <w:r w:rsidRPr="00C401C1">
              <w:t xml:space="preserve"> </w:t>
            </w:r>
            <w:hyperlink r:id="rId8" w:history="1">
              <w:r w:rsidR="00C401C1" w:rsidRPr="00EE1C09">
                <w:rPr>
                  <w:rStyle w:val="Hyperlink"/>
                </w:rPr>
                <w:t>www.allianceforsustainability.com/resilientcities</w:t>
              </w:r>
            </w:hyperlink>
            <w:r w:rsidR="00C401C1">
              <w:t xml:space="preserve"> </w:t>
            </w:r>
          </w:p>
        </w:tc>
      </w:tr>
      <w:tr w:rsidR="00A059F7" w:rsidTr="00C401C1">
        <w:trPr>
          <w:trHeight w:val="547"/>
        </w:trPr>
        <w:tc>
          <w:tcPr>
            <w:tcW w:w="3145" w:type="dxa"/>
          </w:tcPr>
          <w:p w:rsidR="00A059F7" w:rsidRPr="00E657A0" w:rsidRDefault="00A059F7" w:rsidP="00A059F7">
            <w:pPr>
              <w:rPr>
                <w:rFonts w:cstheme="minorHAnsi"/>
                <w:b/>
                <w:sz w:val="52"/>
                <w:szCs w:val="52"/>
              </w:rPr>
            </w:pPr>
            <w:r w:rsidRPr="00E657A0">
              <w:rPr>
                <w:rFonts w:cstheme="minorHAnsi"/>
                <w:b/>
                <w:sz w:val="52"/>
                <w:szCs w:val="52"/>
              </w:rPr>
              <w:t>Public Policy</w:t>
            </w:r>
          </w:p>
          <w:p w:rsidR="00A059F7" w:rsidRDefault="00A059F7" w:rsidP="00A059F7">
            <w:pPr>
              <w:rPr>
                <w:rFonts w:cstheme="minorHAnsi"/>
              </w:rPr>
            </w:pPr>
            <w:r>
              <w:rPr>
                <w:rFonts w:cstheme="minorHAnsi"/>
                <w:b/>
                <w:bCs/>
              </w:rPr>
              <w:t xml:space="preserve">Cities working together to ensure their </w:t>
            </w:r>
            <w:r w:rsidRPr="00D729C0">
              <w:rPr>
                <w:rFonts w:cstheme="minorHAnsi"/>
                <w:b/>
                <w:bCs/>
              </w:rPr>
              <w:t xml:space="preserve">interests are </w:t>
            </w:r>
            <w:r>
              <w:rPr>
                <w:rFonts w:cstheme="minorHAnsi"/>
                <w:b/>
                <w:bCs/>
              </w:rPr>
              <w:t>heard</w:t>
            </w:r>
            <w:r w:rsidRPr="00D729C0">
              <w:rPr>
                <w:rFonts w:cstheme="minorHAnsi"/>
                <w:b/>
                <w:bCs/>
              </w:rPr>
              <w:t xml:space="preserve"> on </w:t>
            </w:r>
            <w:r w:rsidRPr="00D729C0">
              <w:rPr>
                <w:rFonts w:cstheme="minorHAnsi"/>
              </w:rPr>
              <w:t>state pol</w:t>
            </w:r>
            <w:r>
              <w:rPr>
                <w:rFonts w:cstheme="minorHAnsi"/>
              </w:rPr>
              <w:t>icy opportunities and challenges, i.e.</w:t>
            </w:r>
          </w:p>
          <w:p w:rsidR="00A059F7" w:rsidRPr="00D729C0" w:rsidRDefault="00A059F7" w:rsidP="003765E6">
            <w:pPr>
              <w:pStyle w:val="ListParagraph"/>
              <w:numPr>
                <w:ilvl w:val="0"/>
                <w:numId w:val="6"/>
              </w:numPr>
              <w:ind w:left="160" w:hanging="174"/>
              <w:rPr>
                <w:rFonts w:asciiTheme="minorHAnsi" w:hAnsiTheme="minorHAnsi" w:cstheme="minorHAnsi"/>
                <w:sz w:val="22"/>
                <w:szCs w:val="22"/>
              </w:rPr>
            </w:pPr>
            <w:r>
              <w:rPr>
                <w:rFonts w:asciiTheme="minorHAnsi" w:hAnsiTheme="minorHAnsi" w:cstheme="minorHAnsi"/>
                <w:sz w:val="22"/>
                <w:szCs w:val="22"/>
              </w:rPr>
              <w:t>R</w:t>
            </w:r>
            <w:r w:rsidRPr="00D729C0">
              <w:rPr>
                <w:rFonts w:asciiTheme="minorHAnsi" w:hAnsiTheme="minorHAnsi" w:cstheme="minorHAnsi"/>
                <w:sz w:val="22"/>
                <w:szCs w:val="22"/>
              </w:rPr>
              <w:t>enewable energy standard</w:t>
            </w:r>
            <w:r>
              <w:rPr>
                <w:rFonts w:asciiTheme="minorHAnsi" w:hAnsiTheme="minorHAnsi" w:cstheme="minorHAnsi"/>
                <w:sz w:val="22"/>
                <w:szCs w:val="22"/>
              </w:rPr>
              <w:t xml:space="preserve"> </w:t>
            </w:r>
          </w:p>
          <w:p w:rsidR="00A059F7" w:rsidRDefault="00A059F7" w:rsidP="003765E6">
            <w:pPr>
              <w:pStyle w:val="ListParagraph"/>
              <w:numPr>
                <w:ilvl w:val="0"/>
                <w:numId w:val="6"/>
              </w:numPr>
              <w:ind w:left="160" w:hanging="174"/>
              <w:rPr>
                <w:rFonts w:asciiTheme="minorHAnsi" w:hAnsiTheme="minorHAnsi" w:cstheme="minorHAnsi"/>
                <w:sz w:val="22"/>
                <w:szCs w:val="22"/>
              </w:rPr>
            </w:pPr>
            <w:r>
              <w:rPr>
                <w:rFonts w:asciiTheme="minorHAnsi" w:hAnsiTheme="minorHAnsi" w:cstheme="minorHAnsi"/>
                <w:sz w:val="22"/>
                <w:szCs w:val="22"/>
              </w:rPr>
              <w:t>Opposing local pre-emption</w:t>
            </w:r>
          </w:p>
          <w:p w:rsidR="00A059F7" w:rsidRPr="00D729C0" w:rsidRDefault="00A059F7" w:rsidP="003765E6">
            <w:pPr>
              <w:pStyle w:val="ListParagraph"/>
              <w:numPr>
                <w:ilvl w:val="0"/>
                <w:numId w:val="6"/>
              </w:numPr>
              <w:ind w:left="160" w:hanging="174"/>
              <w:rPr>
                <w:rFonts w:asciiTheme="minorHAnsi" w:hAnsiTheme="minorHAnsi" w:cstheme="minorHAnsi"/>
                <w:sz w:val="22"/>
                <w:szCs w:val="22"/>
              </w:rPr>
            </w:pPr>
            <w:r>
              <w:rPr>
                <w:rFonts w:asciiTheme="minorHAnsi" w:hAnsiTheme="minorHAnsi" w:cstheme="minorHAnsi"/>
                <w:sz w:val="22"/>
                <w:szCs w:val="22"/>
              </w:rPr>
              <w:t xml:space="preserve">See LMC policies </w:t>
            </w:r>
            <w:r w:rsidR="003765E6">
              <w:rPr>
                <w:rFonts w:asciiTheme="minorHAnsi" w:hAnsiTheme="minorHAnsi" w:cstheme="minorHAnsi"/>
                <w:sz w:val="22"/>
                <w:szCs w:val="22"/>
              </w:rPr>
              <w:t>below</w:t>
            </w:r>
          </w:p>
        </w:tc>
        <w:tc>
          <w:tcPr>
            <w:tcW w:w="3240" w:type="dxa"/>
            <w:gridSpan w:val="2"/>
          </w:tcPr>
          <w:p w:rsidR="00A059F7" w:rsidRPr="00E657A0" w:rsidRDefault="00C401C1" w:rsidP="00A059F7">
            <w:pPr>
              <w:rPr>
                <w:rFonts w:cstheme="minorHAnsi"/>
                <w:b/>
                <w:sz w:val="52"/>
                <w:szCs w:val="52"/>
              </w:rPr>
            </w:pPr>
            <w:r>
              <w:rPr>
                <w:rFonts w:cstheme="minorHAnsi"/>
                <w:b/>
                <w:sz w:val="52"/>
                <w:szCs w:val="52"/>
              </w:rPr>
              <w:t>Projects</w:t>
            </w:r>
          </w:p>
          <w:p w:rsidR="00A059F7" w:rsidRDefault="00A059F7" w:rsidP="00A059F7">
            <w:pPr>
              <w:rPr>
                <w:rFonts w:cstheme="minorHAnsi"/>
                <w:b/>
                <w:bCs/>
              </w:rPr>
            </w:pPr>
            <w:r>
              <w:rPr>
                <w:rFonts w:cstheme="minorHAnsi"/>
                <w:b/>
                <w:bCs/>
              </w:rPr>
              <w:t xml:space="preserve">Cities collaborating to help high-impact projects to go to scale metro </w:t>
            </w:r>
            <w:r w:rsidRPr="00D729C0">
              <w:rPr>
                <w:rFonts w:cstheme="minorHAnsi"/>
                <w:b/>
                <w:bCs/>
              </w:rPr>
              <w:t>wide</w:t>
            </w:r>
            <w:r w:rsidRPr="00D729C0">
              <w:rPr>
                <w:rFonts w:cstheme="minorHAnsi"/>
                <w:bCs/>
              </w:rPr>
              <w:t xml:space="preserve"> – i.e.</w:t>
            </w:r>
          </w:p>
          <w:p w:rsidR="00A059F7" w:rsidRDefault="00A059F7" w:rsidP="00A059F7">
            <w:pPr>
              <w:pStyle w:val="ListParagraph"/>
              <w:numPr>
                <w:ilvl w:val="0"/>
                <w:numId w:val="6"/>
              </w:numPr>
              <w:ind w:left="424"/>
              <w:rPr>
                <w:rFonts w:asciiTheme="minorHAnsi" w:hAnsiTheme="minorHAnsi" w:cstheme="minorHAnsi"/>
                <w:sz w:val="22"/>
                <w:szCs w:val="22"/>
              </w:rPr>
            </w:pPr>
            <w:r>
              <w:rPr>
                <w:rFonts w:asciiTheme="minorHAnsi" w:hAnsiTheme="minorHAnsi" w:cstheme="minorHAnsi"/>
                <w:sz w:val="22"/>
                <w:szCs w:val="22"/>
              </w:rPr>
              <w:t>EV infrastructure planning</w:t>
            </w:r>
          </w:p>
          <w:p w:rsidR="00A059F7" w:rsidRDefault="00A059F7" w:rsidP="00A059F7">
            <w:pPr>
              <w:pStyle w:val="ListParagraph"/>
              <w:numPr>
                <w:ilvl w:val="0"/>
                <w:numId w:val="6"/>
              </w:numPr>
              <w:ind w:left="424"/>
              <w:rPr>
                <w:rFonts w:asciiTheme="minorHAnsi" w:hAnsiTheme="minorHAnsi" w:cstheme="minorHAnsi"/>
                <w:sz w:val="22"/>
                <w:szCs w:val="22"/>
              </w:rPr>
            </w:pPr>
            <w:r>
              <w:rPr>
                <w:rFonts w:asciiTheme="minorHAnsi" w:hAnsiTheme="minorHAnsi" w:cstheme="minorHAnsi"/>
                <w:sz w:val="22"/>
                <w:szCs w:val="22"/>
              </w:rPr>
              <w:t>PV solar for municipal buildings &amp; businesses</w:t>
            </w:r>
          </w:p>
          <w:p w:rsidR="00A059F7" w:rsidRPr="00D729C0" w:rsidRDefault="00A059F7" w:rsidP="00A059F7">
            <w:pPr>
              <w:pStyle w:val="ListParagraph"/>
              <w:numPr>
                <w:ilvl w:val="0"/>
                <w:numId w:val="6"/>
              </w:numPr>
              <w:ind w:left="424"/>
              <w:rPr>
                <w:rFonts w:asciiTheme="minorHAnsi" w:hAnsiTheme="minorHAnsi" w:cstheme="minorHAnsi"/>
                <w:sz w:val="22"/>
                <w:szCs w:val="22"/>
              </w:rPr>
            </w:pPr>
            <w:r>
              <w:rPr>
                <w:rFonts w:asciiTheme="minorHAnsi" w:hAnsiTheme="minorHAnsi" w:cstheme="minorHAnsi"/>
                <w:sz w:val="22"/>
                <w:szCs w:val="22"/>
              </w:rPr>
              <w:t>Business Benchmarking</w:t>
            </w:r>
          </w:p>
        </w:tc>
        <w:tc>
          <w:tcPr>
            <w:tcW w:w="3685" w:type="dxa"/>
          </w:tcPr>
          <w:p w:rsidR="00C401C1" w:rsidRDefault="00A059F7" w:rsidP="00A059F7">
            <w:pPr>
              <w:rPr>
                <w:rFonts w:cstheme="minorHAnsi"/>
                <w:b/>
                <w:sz w:val="52"/>
                <w:szCs w:val="52"/>
              </w:rPr>
            </w:pPr>
            <w:r w:rsidRPr="00E657A0">
              <w:rPr>
                <w:rFonts w:cstheme="minorHAnsi"/>
                <w:b/>
                <w:sz w:val="52"/>
                <w:szCs w:val="52"/>
              </w:rPr>
              <w:t>Peer-learning</w:t>
            </w:r>
          </w:p>
          <w:p w:rsidR="00A059F7" w:rsidRPr="00C401C1" w:rsidRDefault="00A059F7" w:rsidP="00A059F7">
            <w:pPr>
              <w:rPr>
                <w:rFonts w:cstheme="minorHAnsi"/>
                <w:b/>
                <w:sz w:val="52"/>
                <w:szCs w:val="52"/>
              </w:rPr>
            </w:pPr>
            <w:r w:rsidRPr="00D729C0">
              <w:rPr>
                <w:rFonts w:cstheme="minorHAnsi"/>
                <w:b/>
                <w:bCs/>
              </w:rPr>
              <w:t xml:space="preserve">on </w:t>
            </w:r>
            <w:r>
              <w:rPr>
                <w:rFonts w:cstheme="minorHAnsi"/>
                <w:b/>
                <w:bCs/>
              </w:rPr>
              <w:t>current and future</w:t>
            </w:r>
            <w:r w:rsidRPr="00D729C0">
              <w:rPr>
                <w:rFonts w:cstheme="minorHAnsi"/>
                <w:b/>
                <w:bCs/>
              </w:rPr>
              <w:t xml:space="preserve"> energy/resilience topics</w:t>
            </w:r>
            <w:r w:rsidR="00C401C1">
              <w:rPr>
                <w:rFonts w:cstheme="minorHAnsi"/>
              </w:rPr>
              <w:t xml:space="preserve"> </w:t>
            </w:r>
          </w:p>
          <w:p w:rsidR="00A059F7" w:rsidRDefault="00A059F7" w:rsidP="00A059F7">
            <w:pPr>
              <w:pStyle w:val="ListParagraph"/>
              <w:numPr>
                <w:ilvl w:val="0"/>
                <w:numId w:val="6"/>
              </w:numPr>
              <w:ind w:left="286" w:hanging="258"/>
              <w:rPr>
                <w:rFonts w:asciiTheme="minorHAnsi" w:hAnsiTheme="minorHAnsi" w:cstheme="minorHAnsi"/>
                <w:sz w:val="22"/>
                <w:szCs w:val="22"/>
              </w:rPr>
            </w:pPr>
            <w:r>
              <w:rPr>
                <w:rFonts w:asciiTheme="minorHAnsi" w:hAnsiTheme="minorHAnsi" w:cstheme="minorHAnsi"/>
                <w:sz w:val="22"/>
                <w:szCs w:val="22"/>
              </w:rPr>
              <w:t>Cities sharing resilien</w:t>
            </w:r>
            <w:r w:rsidR="00C401C1">
              <w:rPr>
                <w:rFonts w:asciiTheme="minorHAnsi" w:hAnsiTheme="minorHAnsi" w:cstheme="minorHAnsi"/>
                <w:sz w:val="22"/>
                <w:szCs w:val="22"/>
              </w:rPr>
              <w:t>ce/energy comp plan strategies April 5</w:t>
            </w:r>
          </w:p>
          <w:p w:rsidR="00A059F7" w:rsidRDefault="00A059F7" w:rsidP="00A059F7">
            <w:pPr>
              <w:pStyle w:val="ListParagraph"/>
              <w:numPr>
                <w:ilvl w:val="0"/>
                <w:numId w:val="6"/>
              </w:numPr>
              <w:ind w:left="286" w:hanging="258"/>
              <w:rPr>
                <w:rFonts w:asciiTheme="minorHAnsi" w:hAnsiTheme="minorHAnsi" w:cstheme="minorHAnsi"/>
                <w:sz w:val="22"/>
                <w:szCs w:val="22"/>
              </w:rPr>
            </w:pPr>
            <w:r>
              <w:rPr>
                <w:rFonts w:asciiTheme="minorHAnsi" w:hAnsiTheme="minorHAnsi" w:cstheme="minorHAnsi"/>
                <w:sz w:val="22"/>
                <w:szCs w:val="22"/>
              </w:rPr>
              <w:t>EV infrastructure – planning ways to invest VW settlement $</w:t>
            </w:r>
            <w:r w:rsidRPr="00D729C0">
              <w:rPr>
                <w:rFonts w:asciiTheme="minorHAnsi" w:hAnsiTheme="minorHAnsi" w:cstheme="minorHAnsi"/>
                <w:sz w:val="22"/>
                <w:szCs w:val="22"/>
              </w:rPr>
              <w:t xml:space="preserve"> </w:t>
            </w:r>
          </w:p>
          <w:p w:rsidR="00A059F7" w:rsidRPr="00D729C0" w:rsidRDefault="00C401C1" w:rsidP="00C401C1">
            <w:pPr>
              <w:pStyle w:val="ListParagraph"/>
              <w:numPr>
                <w:ilvl w:val="0"/>
                <w:numId w:val="6"/>
              </w:numPr>
              <w:ind w:left="286" w:hanging="258"/>
              <w:rPr>
                <w:rFonts w:asciiTheme="minorHAnsi" w:hAnsiTheme="minorHAnsi" w:cstheme="minorHAnsi"/>
                <w:sz w:val="22"/>
                <w:szCs w:val="22"/>
              </w:rPr>
            </w:pPr>
            <w:r>
              <w:rPr>
                <w:rFonts w:asciiTheme="minorHAnsi" w:hAnsiTheme="minorHAnsi" w:cstheme="minorHAnsi"/>
                <w:sz w:val="22"/>
                <w:szCs w:val="22"/>
              </w:rPr>
              <w:t>Infrastructure f</w:t>
            </w:r>
            <w:r w:rsidR="00A059F7">
              <w:rPr>
                <w:rFonts w:asciiTheme="minorHAnsi" w:hAnsiTheme="minorHAnsi" w:cstheme="minorHAnsi"/>
                <w:sz w:val="22"/>
                <w:szCs w:val="22"/>
              </w:rPr>
              <w:t xml:space="preserve">unding strategies </w:t>
            </w:r>
          </w:p>
        </w:tc>
      </w:tr>
      <w:tr w:rsidR="00A059F7" w:rsidTr="00C401C1">
        <w:tc>
          <w:tcPr>
            <w:tcW w:w="3145" w:type="dxa"/>
          </w:tcPr>
          <w:p w:rsidR="00A059F7" w:rsidRDefault="00A059F7" w:rsidP="00A059F7">
            <w:r>
              <w:rPr>
                <w:b/>
                <w:noProof/>
                <w:sz w:val="24"/>
                <w:szCs w:val="24"/>
              </w:rPr>
              <w:drawing>
                <wp:inline distT="0" distB="0" distL="0" distR="0" wp14:anchorId="68C373EB" wp14:editId="2D42FE0D">
                  <wp:extent cx="1847850" cy="1539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png"/>
                          <pic:cNvPicPr/>
                        </pic:nvPicPr>
                        <pic:blipFill>
                          <a:blip r:embed="rId9">
                            <a:extLst>
                              <a:ext uri="{28A0092B-C50C-407E-A947-70E740481C1C}">
                                <a14:useLocalDpi xmlns:a14="http://schemas.microsoft.com/office/drawing/2010/main" val="0"/>
                              </a:ext>
                            </a:extLst>
                          </a:blip>
                          <a:stretch>
                            <a:fillRect/>
                          </a:stretch>
                        </pic:blipFill>
                        <pic:spPr>
                          <a:xfrm>
                            <a:off x="0" y="0"/>
                            <a:ext cx="1862376" cy="1551980"/>
                          </a:xfrm>
                          <a:prstGeom prst="rect">
                            <a:avLst/>
                          </a:prstGeom>
                        </pic:spPr>
                      </pic:pic>
                    </a:graphicData>
                  </a:graphic>
                </wp:inline>
              </w:drawing>
            </w:r>
          </w:p>
        </w:tc>
        <w:tc>
          <w:tcPr>
            <w:tcW w:w="6925" w:type="dxa"/>
            <w:gridSpan w:val="3"/>
          </w:tcPr>
          <w:p w:rsidR="00A059F7" w:rsidRPr="00D75051" w:rsidRDefault="00A059F7" w:rsidP="00A059F7">
            <w:pPr>
              <w:rPr>
                <w:sz w:val="28"/>
                <w:szCs w:val="28"/>
              </w:rPr>
            </w:pPr>
            <w:r w:rsidRPr="00D75051">
              <w:rPr>
                <w:b/>
                <w:sz w:val="28"/>
                <w:szCs w:val="28"/>
              </w:rPr>
              <w:t>League of MN Cities</w:t>
            </w:r>
            <w:r w:rsidRPr="00D75051">
              <w:rPr>
                <w:sz w:val="28"/>
                <w:szCs w:val="28"/>
              </w:rPr>
              <w:t xml:space="preserve"> - </w:t>
            </w:r>
            <w:r w:rsidRPr="00D75051">
              <w:rPr>
                <w:b/>
                <w:sz w:val="28"/>
                <w:szCs w:val="28"/>
              </w:rPr>
              <w:t>2018 Legislative Policies</w:t>
            </w:r>
          </w:p>
          <w:p w:rsidR="00A059F7" w:rsidRPr="00246676" w:rsidRDefault="00A059F7" w:rsidP="00A059F7">
            <w:r w:rsidRPr="00246676">
              <w:t xml:space="preserve">The LMC 2018 City Policies publication was created with member input and approved by the LMC Board on Nov. 9, 2017. </w:t>
            </w:r>
          </w:p>
          <w:p w:rsidR="00A059F7" w:rsidRPr="00D729C0" w:rsidRDefault="00982FCE" w:rsidP="00A059F7">
            <w:hyperlink r:id="rId10" w:history="1">
              <w:r w:rsidR="00A059F7" w:rsidRPr="00246676">
                <w:rPr>
                  <w:rStyle w:val="Hyperlink"/>
                </w:rPr>
                <w:t>www.lmc.org/page/1/legislative-policies.jsp</w:t>
              </w:r>
            </w:hyperlink>
            <w:r w:rsidR="00A059F7" w:rsidRPr="00246676">
              <w:t xml:space="preserve"> </w:t>
            </w:r>
          </w:p>
          <w:p w:rsidR="00A059F7" w:rsidRPr="00E54D1F" w:rsidRDefault="00A059F7" w:rsidP="00A059F7">
            <w:pPr>
              <w:rPr>
                <w:rFonts w:cstheme="minorHAnsi"/>
                <w:b/>
                <w:sz w:val="24"/>
                <w:szCs w:val="24"/>
              </w:rPr>
            </w:pPr>
            <w:r w:rsidRPr="00E54D1F">
              <w:rPr>
                <w:rFonts w:cstheme="minorHAnsi"/>
                <w:b/>
                <w:sz w:val="24"/>
                <w:szCs w:val="24"/>
              </w:rPr>
              <w:t>SD-63. State Support for Municipal Energy Policy Goals</w:t>
            </w:r>
          </w:p>
          <w:p w:rsidR="00A059F7" w:rsidRPr="00E54D1F" w:rsidRDefault="00A059F7" w:rsidP="00C401C1">
            <w:pPr>
              <w:rPr>
                <w:rFonts w:cstheme="minorHAnsi"/>
                <w:b/>
              </w:rPr>
            </w:pPr>
            <w:r w:rsidRPr="00E54D1F">
              <w:rPr>
                <w:rFonts w:cstheme="minorHAnsi"/>
              </w:rPr>
              <w:t xml:space="preserve">The </w:t>
            </w:r>
            <w:r w:rsidR="00C401C1">
              <w:rPr>
                <w:rFonts w:cstheme="minorHAnsi"/>
              </w:rPr>
              <w:t>LMC</w:t>
            </w:r>
            <w:r w:rsidRPr="00E54D1F">
              <w:rPr>
                <w:rFonts w:cstheme="minorHAnsi"/>
              </w:rPr>
              <w:t xml:space="preserve"> calls on our legislators and state executive agencies charged with accomplishing the state’s energy policy goals to assist cities, townships and counties with tailored efforts to identify appropriate energy efficiency and renewable energy projects for undertaking at the local level.</w:t>
            </w:r>
          </w:p>
        </w:tc>
      </w:tr>
      <w:tr w:rsidR="00A059F7" w:rsidTr="003765E6">
        <w:trPr>
          <w:trHeight w:val="926"/>
        </w:trPr>
        <w:tc>
          <w:tcPr>
            <w:tcW w:w="10070" w:type="dxa"/>
            <w:gridSpan w:val="4"/>
          </w:tcPr>
          <w:p w:rsidR="00A059F7" w:rsidRPr="00E54D1F" w:rsidRDefault="00A059F7" w:rsidP="003765E6">
            <w:pPr>
              <w:spacing w:after="40"/>
              <w:rPr>
                <w:rFonts w:eastAsia="Times New Roman" w:cstheme="minorHAnsi"/>
                <w:b/>
                <w:bCs/>
                <w:color w:val="000000"/>
              </w:rPr>
            </w:pPr>
            <w:r w:rsidRPr="00E54D1F">
              <w:rPr>
                <w:rFonts w:eastAsia="Times New Roman" w:cstheme="minorHAnsi"/>
                <w:b/>
                <w:bCs/>
                <w:color w:val="000000"/>
              </w:rPr>
              <w:t>Relevant Dockets at the Public Utilities Commission (PUC):</w:t>
            </w:r>
          </w:p>
          <w:p w:rsidR="00A059F7" w:rsidRPr="00C401C1" w:rsidRDefault="00A059F7" w:rsidP="003765E6">
            <w:pPr>
              <w:spacing w:after="40"/>
              <w:ind w:left="154"/>
              <w:rPr>
                <w:rFonts w:eastAsia="Times New Roman" w:cstheme="minorHAnsi"/>
                <w:color w:val="000000"/>
              </w:rPr>
            </w:pPr>
            <w:r w:rsidRPr="00E54D1F">
              <w:rPr>
                <w:rFonts w:eastAsia="Times New Roman" w:cstheme="minorHAnsi"/>
                <w:b/>
                <w:color w:val="000000"/>
              </w:rPr>
              <w:t xml:space="preserve">Integrated Resource Plans   </w:t>
            </w:r>
            <w:r w:rsidR="00C401C1">
              <w:rPr>
                <w:rFonts w:eastAsia="Times New Roman" w:cstheme="minorHAnsi"/>
                <w:color w:val="000000"/>
              </w:rPr>
              <w:t xml:space="preserve">17-286 Great River Energy   </w:t>
            </w:r>
            <w:r w:rsidRPr="00E54D1F">
              <w:rPr>
                <w:rFonts w:eastAsia="Times New Roman" w:cstheme="minorHAnsi"/>
                <w:b/>
                <w:color w:val="000000"/>
              </w:rPr>
              <w:t>Upcoming IRPs:</w:t>
            </w:r>
            <w:r w:rsidRPr="00E54D1F">
              <w:rPr>
                <w:rFonts w:eastAsia="Times New Roman" w:cstheme="minorHAnsi"/>
                <w:color w:val="000000"/>
              </w:rPr>
              <w:t xml:space="preserve">   Xcel Energy’s IRP due Feb1, 2019</w:t>
            </w:r>
          </w:p>
          <w:p w:rsidR="00A059F7" w:rsidRPr="00E54D1F" w:rsidRDefault="00A059F7" w:rsidP="003765E6">
            <w:pPr>
              <w:spacing w:after="40"/>
              <w:ind w:left="158"/>
              <w:rPr>
                <w:rFonts w:eastAsia="Times New Roman" w:cstheme="minorHAnsi"/>
                <w:color w:val="000000"/>
              </w:rPr>
            </w:pPr>
            <w:r w:rsidRPr="00E54D1F">
              <w:rPr>
                <w:rFonts w:eastAsia="Times New Roman" w:cstheme="minorHAnsi"/>
                <w:b/>
                <w:color w:val="000000"/>
              </w:rPr>
              <w:t xml:space="preserve">2017 - 2019 Conservation Improvement Program (CIP) Triennial Plan </w:t>
            </w:r>
            <w:r w:rsidRPr="00E54D1F">
              <w:rPr>
                <w:rFonts w:eastAsia="Times New Roman" w:cstheme="minorHAnsi"/>
                <w:color w:val="000000"/>
              </w:rPr>
              <w:t xml:space="preserve"> 16-115</w:t>
            </w:r>
            <w:r>
              <w:rPr>
                <w:rFonts w:eastAsia="Times New Roman" w:cstheme="minorHAnsi"/>
                <w:color w:val="000000"/>
              </w:rPr>
              <w:t xml:space="preserve"> Xcel Energy CIP Triennial Plan</w:t>
            </w:r>
          </w:p>
        </w:tc>
      </w:tr>
      <w:tr w:rsidR="00A059F7" w:rsidTr="00915688">
        <w:tc>
          <w:tcPr>
            <w:tcW w:w="10070" w:type="dxa"/>
            <w:gridSpan w:val="4"/>
          </w:tcPr>
          <w:p w:rsidR="00A059F7" w:rsidRDefault="00A059F7" w:rsidP="00A059F7">
            <w:r w:rsidRPr="00605C51">
              <w:rPr>
                <w:noProof/>
              </w:rPr>
              <w:drawing>
                <wp:inline distT="0" distB="0" distL="0" distR="0" wp14:anchorId="7E18FFFA" wp14:editId="2021100F">
                  <wp:extent cx="4533900" cy="640532"/>
                  <wp:effectExtent l="0" t="0" r="0" b="7620"/>
                  <wp:docPr id="4" name="Picture 4" descr="Allia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4658" cy="683022"/>
                          </a:xfrm>
                          <a:prstGeom prst="rect">
                            <a:avLst/>
                          </a:prstGeom>
                          <a:noFill/>
                          <a:ln>
                            <a:noFill/>
                          </a:ln>
                        </pic:spPr>
                      </pic:pic>
                    </a:graphicData>
                  </a:graphic>
                </wp:inline>
              </w:drawing>
            </w:r>
            <w:r>
              <w:rPr>
                <w:noProof/>
              </w:rPr>
              <w:t xml:space="preserve"> </w:t>
            </w:r>
            <w:r>
              <w:rPr>
                <w:noProof/>
              </w:rPr>
              <w:drawing>
                <wp:inline distT="0" distB="0" distL="0" distR="0" wp14:anchorId="2F71DB34" wp14:editId="3DF325DE">
                  <wp:extent cx="1511300" cy="6578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1114" cy="670838"/>
                          </a:xfrm>
                          <a:prstGeom prst="rect">
                            <a:avLst/>
                          </a:prstGeom>
                        </pic:spPr>
                      </pic:pic>
                    </a:graphicData>
                  </a:graphic>
                </wp:inline>
              </w:drawing>
            </w:r>
          </w:p>
        </w:tc>
      </w:tr>
    </w:tbl>
    <w:p w:rsidR="007C7B51" w:rsidRDefault="007C7B51"/>
    <w:sectPr w:rsidR="007C7B51" w:rsidSect="007C7B5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5115"/>
    <w:multiLevelType w:val="hybridMultilevel"/>
    <w:tmpl w:val="683898C0"/>
    <w:lvl w:ilvl="0" w:tplc="E07C8994">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D2EFC"/>
    <w:multiLevelType w:val="hybridMultilevel"/>
    <w:tmpl w:val="5BA6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5122D"/>
    <w:multiLevelType w:val="hybridMultilevel"/>
    <w:tmpl w:val="F5DC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1F3027"/>
    <w:multiLevelType w:val="hybridMultilevel"/>
    <w:tmpl w:val="C4EE6C9C"/>
    <w:lvl w:ilvl="0" w:tplc="2DF81360">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3D6288"/>
    <w:multiLevelType w:val="hybridMultilevel"/>
    <w:tmpl w:val="B2FAA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72284"/>
    <w:multiLevelType w:val="hybridMultilevel"/>
    <w:tmpl w:val="62D29F74"/>
    <w:lvl w:ilvl="0" w:tplc="EEE09AF2">
      <w:start w:val="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523E9"/>
    <w:multiLevelType w:val="hybridMultilevel"/>
    <w:tmpl w:val="99E4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0F"/>
    <w:rsid w:val="00041A57"/>
    <w:rsid w:val="00053C0F"/>
    <w:rsid w:val="000C30F9"/>
    <w:rsid w:val="00310BD2"/>
    <w:rsid w:val="003765E6"/>
    <w:rsid w:val="003A42CB"/>
    <w:rsid w:val="003D63A6"/>
    <w:rsid w:val="005A35DF"/>
    <w:rsid w:val="006B162F"/>
    <w:rsid w:val="007C7B51"/>
    <w:rsid w:val="00982FCE"/>
    <w:rsid w:val="00A059F7"/>
    <w:rsid w:val="00A238E3"/>
    <w:rsid w:val="00A4348A"/>
    <w:rsid w:val="00A94245"/>
    <w:rsid w:val="00B629B4"/>
    <w:rsid w:val="00BF6D62"/>
    <w:rsid w:val="00C401C1"/>
    <w:rsid w:val="00CA7868"/>
    <w:rsid w:val="00CC36AB"/>
    <w:rsid w:val="00D729C0"/>
    <w:rsid w:val="00E326DE"/>
    <w:rsid w:val="00E54D1F"/>
    <w:rsid w:val="00E657A0"/>
    <w:rsid w:val="00E86FFA"/>
    <w:rsid w:val="00ED04C1"/>
    <w:rsid w:val="00ED0A2B"/>
    <w:rsid w:val="00F07A8D"/>
    <w:rsid w:val="00F35701"/>
    <w:rsid w:val="00F7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9C8E"/>
  <w15:chartTrackingRefBased/>
  <w15:docId w15:val="{8BBE833E-D92A-4B4E-853A-9493C82D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51"/>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7C7B51"/>
    <w:rPr>
      <w:color w:val="0563C1"/>
      <w:u w:val="single"/>
    </w:rPr>
  </w:style>
  <w:style w:type="table" w:styleId="TableGrid">
    <w:name w:val="Table Grid"/>
    <w:basedOn w:val="TableNormal"/>
    <w:uiPriority w:val="39"/>
    <w:rsid w:val="006B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forsustainability.com/resilientc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n@afors.org" TargetMode="External"/><Relationship Id="rId11" Type="http://schemas.openxmlformats.org/officeDocument/2006/relationships/image" Target="media/image3.png"/><Relationship Id="rId5" Type="http://schemas.openxmlformats.org/officeDocument/2006/relationships/hyperlink" Target="http://www.allianceforsustainability.com/resilientcities" TargetMode="External"/><Relationship Id="rId10" Type="http://schemas.openxmlformats.org/officeDocument/2006/relationships/hyperlink" Target="http://www.lmc.org/page/1/legislative-policies.j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9</cp:revision>
  <cp:lastPrinted>2018-02-27T18:45:00Z</cp:lastPrinted>
  <dcterms:created xsi:type="dcterms:W3CDTF">2018-02-27T17:40:00Z</dcterms:created>
  <dcterms:modified xsi:type="dcterms:W3CDTF">2018-03-01T16:46:00Z</dcterms:modified>
</cp:coreProperties>
</file>